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A65C9" w:rsidRPr="0027270E" w:rsidRDefault="0027270E">
      <w:pPr>
        <w:rPr>
          <w:b/>
          <w:sz w:val="52"/>
          <w:szCs w:val="52"/>
        </w:rPr>
      </w:pPr>
      <w:r w:rsidRPr="0027270E">
        <w:rPr>
          <w:b/>
          <w:sz w:val="52"/>
          <w:szCs w:val="52"/>
        </w:rPr>
        <w:t>BRIEFING</w:t>
      </w:r>
    </w:p>
    <w:p w:rsidR="005C767B" w:rsidRPr="00617973" w:rsidRDefault="00A45F4D">
      <w:pPr>
        <w:rPr>
          <w:b/>
          <w:sz w:val="32"/>
          <w:szCs w:val="32"/>
        </w:rPr>
      </w:pPr>
      <w:r w:rsidRPr="00617973">
        <w:rPr>
          <w:b/>
          <w:sz w:val="32"/>
          <w:szCs w:val="32"/>
        </w:rPr>
        <w:t xml:space="preserve">LCP BREF: </w:t>
      </w:r>
      <w:r w:rsidR="005C767B" w:rsidRPr="00617973">
        <w:rPr>
          <w:b/>
          <w:sz w:val="32"/>
          <w:szCs w:val="32"/>
        </w:rPr>
        <w:t>Definition and application of peak and emergency mode</w:t>
      </w:r>
      <w:r w:rsidRPr="00617973">
        <w:rPr>
          <w:b/>
          <w:sz w:val="32"/>
          <w:szCs w:val="32"/>
        </w:rPr>
        <w:t xml:space="preserve"> </w:t>
      </w:r>
    </w:p>
    <w:p w:rsidR="005B72BD" w:rsidRDefault="00C82A47">
      <w:pPr>
        <w:rPr>
          <w:i/>
        </w:rPr>
      </w:pPr>
      <w:r>
        <w:t xml:space="preserve">In the </w:t>
      </w:r>
      <w:r w:rsidR="0027270E">
        <w:t xml:space="preserve">EIPPCB’s </w:t>
      </w:r>
      <w:r>
        <w:t xml:space="preserve">background paper, it is stated, </w:t>
      </w:r>
      <w:r w:rsidRPr="00C82A47">
        <w:rPr>
          <w:i/>
        </w:rPr>
        <w:t>“The possible impact of the load mode was assessed for each BAT conclusion and BAT-AEPL individually, based on available techno-economic information and looking at implemented techniques and achieved performances</w:t>
      </w:r>
      <w:proofErr w:type="gramStart"/>
      <w:r w:rsidRPr="00C82A47">
        <w:rPr>
          <w:i/>
        </w:rPr>
        <w:t>.“</w:t>
      </w:r>
      <w:proofErr w:type="gramEnd"/>
      <w:r>
        <w:t xml:space="preserve"> </w:t>
      </w:r>
      <w:r w:rsidR="005B72BD">
        <w:t xml:space="preserve"> </w:t>
      </w:r>
      <w:r w:rsidR="005C767B">
        <w:t>Following this assessment,</w:t>
      </w:r>
      <w:r>
        <w:t xml:space="preserve"> the EIPPCB </w:t>
      </w:r>
      <w:r w:rsidR="005B72BD">
        <w:t>proposed to</w:t>
      </w:r>
      <w:r w:rsidR="005C767B">
        <w:t>:</w:t>
      </w:r>
      <w:r>
        <w:t xml:space="preserve"> </w:t>
      </w:r>
      <w:r w:rsidRPr="005B72BD">
        <w:rPr>
          <w:i/>
        </w:rPr>
        <w:t xml:space="preserve">“Assess case-by-case, for each plant category, the need to address the influence of load modes in the fuel-specific BAT conclusions.” </w:t>
      </w:r>
      <w:r w:rsidR="005B72BD">
        <w:rPr>
          <w:i/>
        </w:rPr>
        <w:t xml:space="preserve"> </w:t>
      </w:r>
    </w:p>
    <w:p w:rsidR="005B72BD" w:rsidRPr="00617973" w:rsidRDefault="005C767B">
      <w:r w:rsidRPr="00617973">
        <w:t>The EIPPCB proposes to apply the following definitions for different load modes</w:t>
      </w:r>
      <w:r w:rsidR="00A45F4D" w:rsidRPr="00617973">
        <w:t xml:space="preserve"> in the new BAT Conclusions</w:t>
      </w:r>
      <w:r w:rsidR="00617973" w:rsidRPr="00617973">
        <w:t xml:space="preserve"> which will take effect from 2020</w:t>
      </w:r>
      <w:r w:rsidRPr="00617973">
        <w:t>:</w:t>
      </w:r>
    </w:p>
    <w:p w:rsidR="005B72BD" w:rsidRDefault="005B72BD">
      <w:pPr>
        <w:rPr>
          <w:i/>
        </w:rPr>
      </w:pPr>
      <w:r w:rsidRPr="005C767B">
        <w:rPr>
          <w:b/>
          <w:i/>
        </w:rPr>
        <w:t>Table 1</w:t>
      </w:r>
      <w:r>
        <w:rPr>
          <w:i/>
        </w:rPr>
        <w:br/>
      </w:r>
      <w:r w:rsidRPr="009D77B9">
        <w:rPr>
          <w:noProof/>
          <w:lang w:val="fr-BE" w:eastAsia="fr-BE"/>
        </w:rPr>
        <w:drawing>
          <wp:inline distT="0" distB="0" distL="0" distR="0">
            <wp:extent cx="5276190" cy="1800000"/>
            <wp:effectExtent l="0" t="0" r="127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276190" cy="1800000"/>
                    </a:xfrm>
                    <a:prstGeom prst="rect">
                      <a:avLst/>
                    </a:prstGeom>
                  </pic:spPr>
                </pic:pic>
              </a:graphicData>
            </a:graphic>
          </wp:inline>
        </w:drawing>
      </w:r>
    </w:p>
    <w:p w:rsidR="00F27995" w:rsidRDefault="005B72BD">
      <w:r>
        <w:t>A number of e</w:t>
      </w:r>
      <w:r w:rsidR="00C82A47">
        <w:t xml:space="preserve">xemptions </w:t>
      </w:r>
      <w:r w:rsidR="005C767B">
        <w:t>from</w:t>
      </w:r>
      <w:r>
        <w:t xml:space="preserve"> compliance with BAT-AE</w:t>
      </w:r>
      <w:r w:rsidR="0027270E">
        <w:t>P</w:t>
      </w:r>
      <w:r>
        <w:t xml:space="preserve">Ls </w:t>
      </w:r>
      <w:r w:rsidR="00C82A47">
        <w:t xml:space="preserve">are proposed for </w:t>
      </w:r>
      <w:r>
        <w:t xml:space="preserve">different categories of power plant and industrial process installations when operating in </w:t>
      </w:r>
      <w:r w:rsidR="009467BD">
        <w:t xml:space="preserve">what are dubiously defined as </w:t>
      </w:r>
      <w:r>
        <w:t xml:space="preserve">peak and </w:t>
      </w:r>
      <w:r w:rsidRPr="00036317">
        <w:t>emergency mode</w:t>
      </w:r>
      <w:r w:rsidR="005C767B" w:rsidRPr="00036317">
        <w:t xml:space="preserve"> (see Annex 1)</w:t>
      </w:r>
      <w:r w:rsidRPr="00036317">
        <w:t xml:space="preserve">. </w:t>
      </w:r>
      <w:r w:rsidR="00036317" w:rsidRPr="00036317">
        <w:t>Derogations from compliance with BAT-AE</w:t>
      </w:r>
      <w:r w:rsidR="0027270E">
        <w:t>P</w:t>
      </w:r>
      <w:r w:rsidR="00036317" w:rsidRPr="00036317">
        <w:t xml:space="preserve">Ls for peak mode </w:t>
      </w:r>
      <w:r w:rsidR="0027270E">
        <w:t xml:space="preserve">and emergency mode </w:t>
      </w:r>
      <w:r w:rsidR="00036317" w:rsidRPr="00036317">
        <w:t>operation</w:t>
      </w:r>
      <w:r w:rsidR="0027270E">
        <w:t xml:space="preserve"> </w:t>
      </w:r>
      <w:r w:rsidR="00036317" w:rsidRPr="00036317">
        <w:t>are proposed based on ‘techno-economic’ informati</w:t>
      </w:r>
      <w:r w:rsidR="00036317">
        <w:t>on but the detailed reasoning</w:t>
      </w:r>
      <w:r w:rsidR="00036317" w:rsidRPr="00036317">
        <w:t xml:space="preserve"> is not set out in the background paper. </w:t>
      </w:r>
      <w:r w:rsidR="00036317">
        <w:t xml:space="preserve">Whatever the reasoning, </w:t>
      </w:r>
      <w:r w:rsidR="0027270E">
        <w:t xml:space="preserve">we set out below </w:t>
      </w:r>
      <w:r w:rsidR="00036317">
        <w:t>why</w:t>
      </w:r>
      <w:r>
        <w:t xml:space="preserve"> </w:t>
      </w:r>
      <w:r w:rsidR="0027270E">
        <w:t xml:space="preserve">such </w:t>
      </w:r>
      <w:r w:rsidR="00036317" w:rsidRPr="006B1B35">
        <w:rPr>
          <w:u w:val="single"/>
        </w:rPr>
        <w:t>derogations</w:t>
      </w:r>
      <w:r w:rsidR="00420A7C" w:rsidRPr="006B1B35">
        <w:rPr>
          <w:u w:val="single"/>
        </w:rPr>
        <w:t xml:space="preserve"> </w:t>
      </w:r>
      <w:r w:rsidR="0027270E" w:rsidRPr="006B1B35">
        <w:rPr>
          <w:u w:val="single"/>
        </w:rPr>
        <w:t>should not apply to power generation</w:t>
      </w:r>
      <w:r w:rsidR="00420A7C" w:rsidRPr="006B1B35">
        <w:rPr>
          <w:u w:val="single"/>
        </w:rPr>
        <w:t xml:space="preserve"> operating in the liberalised wholesale electricity and balancing markets.</w:t>
      </w:r>
      <w:r w:rsidR="006B1B35">
        <w:t xml:space="preserve"> Any derogation should be limited to out-of-market emergency conditions.</w:t>
      </w:r>
    </w:p>
    <w:p w:rsidR="00593E19" w:rsidRPr="00FD4782" w:rsidRDefault="005C767B" w:rsidP="00593E19">
      <w:pPr>
        <w:pStyle w:val="ListParagraph"/>
        <w:numPr>
          <w:ilvl w:val="0"/>
          <w:numId w:val="2"/>
        </w:numPr>
      </w:pPr>
      <w:r w:rsidRPr="00593E19">
        <w:rPr>
          <w:b/>
        </w:rPr>
        <w:t xml:space="preserve">A mode defined as operating for less than 500 hours </w:t>
      </w:r>
      <w:r w:rsidR="009467BD" w:rsidRPr="00593E19">
        <w:rPr>
          <w:b/>
        </w:rPr>
        <w:t>extends in the vast majority of cases to plants that are</w:t>
      </w:r>
      <w:r w:rsidRPr="00593E19">
        <w:rPr>
          <w:b/>
        </w:rPr>
        <w:t xml:space="preserve"> in fact</w:t>
      </w:r>
      <w:r w:rsidR="009467BD" w:rsidRPr="00593E19">
        <w:rPr>
          <w:b/>
        </w:rPr>
        <w:t xml:space="preserve"> competing in the energy market in</w:t>
      </w:r>
      <w:r w:rsidRPr="00593E19">
        <w:rPr>
          <w:b/>
        </w:rPr>
        <w:t xml:space="preserve"> peak mode, not emergency mode. </w:t>
      </w:r>
      <w:r w:rsidR="00593E19">
        <w:t xml:space="preserve">Emergency conditions refer to situations where the system is seriously disturbed, is operating outside normal parameters and where there </w:t>
      </w:r>
      <w:bookmarkStart w:id="0" w:name="_GoBack"/>
      <w:bookmarkEnd w:id="0"/>
      <w:r w:rsidR="00593E19">
        <w:t xml:space="preserve">is a real risk of a full or partial shutdown. </w:t>
      </w:r>
      <w:r>
        <w:t xml:space="preserve">Emergency conditions </w:t>
      </w:r>
      <w:r w:rsidR="00593E19">
        <w:t xml:space="preserve">therefore </w:t>
      </w:r>
      <w:r>
        <w:t xml:space="preserve">apply when the wholesale energy and balancing markets </w:t>
      </w:r>
      <w:r w:rsidR="00713A51">
        <w:t xml:space="preserve">(operating reserves) </w:t>
      </w:r>
      <w:r>
        <w:t xml:space="preserve">have not been able to clear, the gate has closed and the system operator uses </w:t>
      </w:r>
      <w:r w:rsidR="00713A51">
        <w:t>emergency reserves</w:t>
      </w:r>
      <w:r>
        <w:t xml:space="preserve"> to balance the grid. These resources are therefore out of market,</w:t>
      </w:r>
      <w:r w:rsidR="00593E19">
        <w:t xml:space="preserve"> though competitively procured. </w:t>
      </w:r>
    </w:p>
    <w:p w:rsidR="00593E19" w:rsidRDefault="00593E19" w:rsidP="00593E19">
      <w:pPr>
        <w:pStyle w:val="ListParagraph"/>
        <w:ind w:left="360"/>
      </w:pPr>
    </w:p>
    <w:p w:rsidR="005C767B" w:rsidRPr="00593E19" w:rsidRDefault="00593E19" w:rsidP="00593E19">
      <w:pPr>
        <w:pStyle w:val="ListParagraph"/>
        <w:ind w:left="360"/>
        <w:rPr>
          <w:b/>
        </w:rPr>
      </w:pPr>
      <w:r>
        <w:t xml:space="preserve">Emergency conditions do not refer to scarcity events or </w:t>
      </w:r>
      <w:r w:rsidR="00FD4782">
        <w:t>normal standards of supply reliability</w:t>
      </w:r>
      <w:r>
        <w:t>,</w:t>
      </w:r>
      <w:r w:rsidR="00FD4782">
        <w:t xml:space="preserve"> which in Europe </w:t>
      </w:r>
      <w:r>
        <w:t xml:space="preserve">are typically set at around 3 </w:t>
      </w:r>
      <w:r w:rsidR="00FD4782">
        <w:t>- 8 hrs of unsupplied energy per annum. Strategic or other reserve plant would run to maintain these standards and use of such reserves can be expected to increase with</w:t>
      </w:r>
      <w:r>
        <w:t xml:space="preserve"> growth in</w:t>
      </w:r>
      <w:r w:rsidR="00FD4782">
        <w:t xml:space="preserve"> the share of RES in the </w:t>
      </w:r>
      <w:r>
        <w:t xml:space="preserve">power mix and with </w:t>
      </w:r>
      <w:r w:rsidR="00FD4782">
        <w:t>EU market design evolving to improve functioning of the wholesale electricity markets.</w:t>
      </w:r>
      <w:r>
        <w:t xml:space="preserve"> </w:t>
      </w:r>
    </w:p>
    <w:p w:rsidR="00593E19" w:rsidRPr="00593E19" w:rsidRDefault="00593E19" w:rsidP="00593E19">
      <w:pPr>
        <w:pStyle w:val="ListParagraph"/>
        <w:ind w:left="360"/>
        <w:rPr>
          <w:b/>
        </w:rPr>
      </w:pPr>
    </w:p>
    <w:p w:rsidR="00EE75BA" w:rsidRDefault="005C767B" w:rsidP="005C767B">
      <w:pPr>
        <w:pStyle w:val="ListParagraph"/>
        <w:ind w:left="360"/>
        <w:rPr>
          <w:rFonts w:ascii="Calibri" w:hAnsi="Calibri"/>
          <w:lang w:val="en-US"/>
        </w:rPr>
      </w:pPr>
      <w:r>
        <w:rPr>
          <w:rFonts w:ascii="Calibri" w:hAnsi="Calibri"/>
          <w:lang w:val="en-US"/>
        </w:rPr>
        <w:lastRenderedPageBreak/>
        <w:t>One referent is the process followed in New England, which was developed through cooperation with and collaboration among that region’s environmental and energy regulators, and the grid operator</w:t>
      </w:r>
      <w:r w:rsidR="00EE75BA">
        <w:rPr>
          <w:rStyle w:val="FootnoteReference"/>
          <w:rFonts w:ascii="Calibri" w:hAnsi="Calibri"/>
          <w:lang w:val="en-US"/>
        </w:rPr>
        <w:footnoteReference w:id="1"/>
      </w:r>
      <w:r>
        <w:rPr>
          <w:rFonts w:ascii="Calibri" w:hAnsi="Calibri"/>
          <w:lang w:val="en-US"/>
        </w:rPr>
        <w:t xml:space="preserve">.  </w:t>
      </w:r>
      <w:r w:rsidRPr="00EE75BA">
        <w:rPr>
          <w:rFonts w:ascii="Calibri" w:hAnsi="Calibri"/>
          <w:lang w:val="en-US"/>
        </w:rPr>
        <w:t>This process resulted in a tightly defined and agreed up definition of “emergency” and when such units could operate.</w:t>
      </w:r>
      <w:r w:rsidR="00713A51" w:rsidRPr="00EE75BA">
        <w:rPr>
          <w:rStyle w:val="FootnoteReference"/>
          <w:rFonts w:ascii="Calibri" w:hAnsi="Calibri"/>
          <w:lang w:val="en-US"/>
        </w:rPr>
        <w:footnoteReference w:id="2"/>
      </w:r>
      <w:r w:rsidRPr="00EE75BA">
        <w:rPr>
          <w:rFonts w:ascii="Calibri" w:hAnsi="Calibri"/>
          <w:lang w:val="en-US"/>
        </w:rPr>
        <w:t xml:space="preserve"> </w:t>
      </w:r>
    </w:p>
    <w:p w:rsidR="00EE75BA" w:rsidRDefault="00EE75BA" w:rsidP="005C767B">
      <w:pPr>
        <w:pStyle w:val="ListParagraph"/>
        <w:ind w:left="360"/>
        <w:rPr>
          <w:rFonts w:ascii="Calibri" w:hAnsi="Calibri"/>
          <w:lang w:val="en-US"/>
        </w:rPr>
      </w:pPr>
    </w:p>
    <w:p w:rsidR="005C767B" w:rsidRDefault="00EE75BA" w:rsidP="00420A7C">
      <w:pPr>
        <w:pStyle w:val="ListParagraph"/>
        <w:ind w:left="360"/>
        <w:rPr>
          <w:rFonts w:ascii="Calibri" w:eastAsia="Times New Roman" w:hAnsi="Calibri"/>
          <w:color w:val="000000"/>
        </w:rPr>
      </w:pPr>
      <w:r>
        <w:rPr>
          <w:rFonts w:ascii="Calibri" w:hAnsi="Calibri"/>
          <w:lang w:val="en-US"/>
        </w:rPr>
        <w:t>In addition, a</w:t>
      </w:r>
      <w:r w:rsidR="005C767B" w:rsidRPr="00EE75BA">
        <w:rPr>
          <w:rFonts w:ascii="Calibri" w:hAnsi="Calibri"/>
          <w:lang w:val="en-US"/>
        </w:rPr>
        <w:t xml:space="preserve"> recent court ruling in the US provides evidence that defining</w:t>
      </w:r>
      <w:r w:rsidR="005C767B" w:rsidRPr="00EE75BA">
        <w:rPr>
          <w:rFonts w:ascii="Calibri" w:eastAsia="Times New Roman" w:hAnsi="Calibri"/>
          <w:color w:val="000000"/>
        </w:rPr>
        <w:t xml:space="preserve"> emergency mode according to a minimum number of hours of operation is a flawed approach.</w:t>
      </w:r>
      <w:r w:rsidR="00FB0A04">
        <w:rPr>
          <w:rStyle w:val="FootnoteReference"/>
          <w:rFonts w:ascii="Calibri" w:eastAsia="Times New Roman" w:hAnsi="Calibri"/>
          <w:color w:val="000000"/>
        </w:rPr>
        <w:footnoteReference w:id="3"/>
      </w:r>
      <w:r w:rsidR="005C767B" w:rsidRPr="00EE75BA">
        <w:rPr>
          <w:rFonts w:ascii="Calibri" w:eastAsia="Times New Roman" w:hAnsi="Calibri"/>
          <w:color w:val="000000"/>
        </w:rPr>
        <w:t xml:space="preserve"> The </w:t>
      </w:r>
      <w:r w:rsidR="000B0EAC">
        <w:rPr>
          <w:rFonts w:ascii="Calibri" w:eastAsia="Times New Roman" w:hAnsi="Calibri"/>
          <w:color w:val="000000"/>
        </w:rPr>
        <w:t xml:space="preserve">U. S. </w:t>
      </w:r>
      <w:r w:rsidR="005C767B" w:rsidRPr="00EE75BA">
        <w:rPr>
          <w:rFonts w:ascii="Calibri" w:eastAsia="Times New Roman" w:hAnsi="Calibri"/>
          <w:color w:val="000000"/>
        </w:rPr>
        <w:t xml:space="preserve">Court </w:t>
      </w:r>
      <w:r w:rsidR="000B0EAC">
        <w:rPr>
          <w:rFonts w:ascii="Calibri" w:eastAsia="Times New Roman" w:hAnsi="Calibri"/>
          <w:color w:val="000000"/>
        </w:rPr>
        <w:t xml:space="preserve">of Appeals, District of Columbia Circuit, </w:t>
      </w:r>
      <w:r w:rsidR="005C767B" w:rsidRPr="00EE75BA">
        <w:rPr>
          <w:rFonts w:ascii="Calibri" w:eastAsia="Times New Roman" w:hAnsi="Calibri"/>
          <w:color w:val="000000"/>
        </w:rPr>
        <w:t>ruled that the EPA’s proposed regulations to increase emergency mode operation from 15 hours to 100 hours for reciprocating internal combustion engines (also known as the “RICE” rule) could not be justified. The EPA must now rewrite that rule, and all expect a more stringent definition of “emergency” to be instituted.</w:t>
      </w:r>
    </w:p>
    <w:p w:rsidR="00420A7C" w:rsidRPr="00420A7C" w:rsidRDefault="00420A7C" w:rsidP="00420A7C">
      <w:pPr>
        <w:pStyle w:val="ListParagraph"/>
        <w:ind w:left="360"/>
        <w:rPr>
          <w:rFonts w:ascii="Calibri" w:eastAsia="Times New Roman" w:hAnsi="Calibri"/>
          <w:color w:val="000000"/>
        </w:rPr>
      </w:pPr>
    </w:p>
    <w:p w:rsidR="005C767B" w:rsidRPr="00394279" w:rsidRDefault="005C767B" w:rsidP="005C767B">
      <w:pPr>
        <w:pStyle w:val="ListParagraph"/>
        <w:numPr>
          <w:ilvl w:val="0"/>
          <w:numId w:val="2"/>
        </w:numPr>
        <w:rPr>
          <w:rFonts w:ascii="Calibri" w:hAnsi="Calibri"/>
          <w:b/>
          <w:lang w:val="en-US"/>
        </w:rPr>
      </w:pPr>
      <w:r>
        <w:rPr>
          <w:rFonts w:ascii="Calibri" w:hAnsi="Calibri"/>
          <w:b/>
          <w:lang w:val="en-US"/>
        </w:rPr>
        <w:t>At times of peak energy demand when RES is not available,</w:t>
      </w:r>
      <w:r w:rsidRPr="00394279">
        <w:rPr>
          <w:rFonts w:ascii="Calibri" w:hAnsi="Calibri"/>
          <w:b/>
          <w:lang w:val="en-US"/>
        </w:rPr>
        <w:t xml:space="preserve"> air quality is more likely to be poor. The derogation, as framed, allows outcomes that the Industrial Emissions Directive is trying to avoid</w:t>
      </w:r>
      <w:r>
        <w:rPr>
          <w:rFonts w:ascii="Calibri" w:hAnsi="Calibri"/>
          <w:b/>
          <w:lang w:val="en-US"/>
        </w:rPr>
        <w:t>.</w:t>
      </w:r>
    </w:p>
    <w:p w:rsidR="00FD4782" w:rsidRDefault="00FF7594" w:rsidP="00FD4782">
      <w:pPr>
        <w:pStyle w:val="ListParagraph"/>
        <w:ind w:left="360"/>
        <w:rPr>
          <w:rFonts w:ascii="Calibri" w:hAnsi="Calibri"/>
          <w:lang w:val="en-US"/>
        </w:rPr>
      </w:pPr>
      <w:r>
        <w:rPr>
          <w:rFonts w:ascii="Calibri" w:hAnsi="Calibri"/>
          <w:lang w:val="en-US"/>
        </w:rPr>
        <w:t>Plant owners will</w:t>
      </w:r>
      <w:r w:rsidR="005C767B">
        <w:rPr>
          <w:rFonts w:ascii="Calibri" w:hAnsi="Calibri"/>
          <w:lang w:val="en-US"/>
        </w:rPr>
        <w:t xml:space="preserve"> rationally operate </w:t>
      </w:r>
      <w:r>
        <w:rPr>
          <w:rFonts w:ascii="Calibri" w:hAnsi="Calibri"/>
          <w:lang w:val="en-US"/>
        </w:rPr>
        <w:t xml:space="preserve">their plant </w:t>
      </w:r>
      <w:r w:rsidR="005C767B">
        <w:rPr>
          <w:rFonts w:ascii="Calibri" w:hAnsi="Calibri"/>
          <w:lang w:val="en-US"/>
        </w:rPr>
        <w:t>when prices are high and that is likely to be when RES is not available and</w:t>
      </w:r>
      <w:r w:rsidR="00713A51">
        <w:rPr>
          <w:rFonts w:ascii="Calibri" w:hAnsi="Calibri"/>
          <w:lang w:val="en-US"/>
        </w:rPr>
        <w:t xml:space="preserve"> energy demand is high. At such a </w:t>
      </w:r>
      <w:r w:rsidR="005C767B">
        <w:rPr>
          <w:rFonts w:ascii="Calibri" w:hAnsi="Calibri"/>
          <w:lang w:val="en-US"/>
        </w:rPr>
        <w:t xml:space="preserve">moment, thermal generation will </w:t>
      </w:r>
      <w:r w:rsidR="00713A51">
        <w:rPr>
          <w:rFonts w:ascii="Calibri" w:hAnsi="Calibri"/>
          <w:lang w:val="en-US"/>
        </w:rPr>
        <w:t xml:space="preserve">typically </w:t>
      </w:r>
      <w:r w:rsidR="005C767B">
        <w:rPr>
          <w:rFonts w:ascii="Calibri" w:hAnsi="Calibri"/>
          <w:lang w:val="en-US"/>
        </w:rPr>
        <w:t xml:space="preserve">be dominant in the power mix. </w:t>
      </w:r>
      <w:r w:rsidR="00FD4782">
        <w:t>Furthermore, as the share of wind and solar generation in power mix increases, then scarcity events could become more common and these can occur during anti-cyclonic events that are associated with poor air quality and can last for a couple of weeks. Conversely, "emergency states" will not generally be associated with anti-cyclonic conditions and, in fact, are more likely to be associated with cyclonic systems when air quality is not such an issue. This is another reason why basing derogations on expected hours of running is arguably the wrong approach.</w:t>
      </w:r>
    </w:p>
    <w:p w:rsidR="00FD4782" w:rsidRDefault="00FD4782" w:rsidP="00FD4782">
      <w:pPr>
        <w:pStyle w:val="ListParagraph"/>
        <w:ind w:left="360"/>
        <w:rPr>
          <w:rFonts w:ascii="Calibri" w:hAnsi="Calibri"/>
          <w:lang w:val="en-US"/>
        </w:rPr>
      </w:pPr>
    </w:p>
    <w:p w:rsidR="001E0F80" w:rsidRPr="00FD4782" w:rsidRDefault="00FD4782" w:rsidP="00FD4782">
      <w:pPr>
        <w:pStyle w:val="ListParagraph"/>
        <w:ind w:left="360"/>
      </w:pPr>
      <w:r>
        <w:rPr>
          <w:rFonts w:ascii="Calibri" w:hAnsi="Calibri"/>
          <w:lang w:val="en-US"/>
        </w:rPr>
        <w:t xml:space="preserve">U.S. </w:t>
      </w:r>
      <w:r w:rsidR="000B0EAC">
        <w:rPr>
          <w:rFonts w:ascii="Calibri" w:hAnsi="Calibri"/>
          <w:lang w:val="en-US"/>
        </w:rPr>
        <w:t>EPA emission standards are distinguished by the capacity of the boiler or electric generating unit</w:t>
      </w:r>
      <w:r w:rsidR="00CD34B1">
        <w:rPr>
          <w:rFonts w:ascii="Calibri" w:hAnsi="Calibri"/>
          <w:lang w:val="en-US"/>
        </w:rPr>
        <w:t xml:space="preserve"> and the date that construction commenced on the affected unit</w:t>
      </w:r>
      <w:r w:rsidR="000B0EAC">
        <w:rPr>
          <w:rFonts w:ascii="Calibri" w:hAnsi="Calibri"/>
          <w:lang w:val="en-US"/>
        </w:rPr>
        <w:t xml:space="preserve">, and not by the per capita income of a state or the number of hours of operation. </w:t>
      </w:r>
      <w:r w:rsidR="00CD34B1">
        <w:rPr>
          <w:rStyle w:val="FootnoteReference"/>
          <w:rFonts w:ascii="Calibri" w:hAnsi="Calibri"/>
          <w:lang w:val="en-US"/>
        </w:rPr>
        <w:footnoteReference w:id="4"/>
      </w:r>
      <w:r w:rsidR="000B0EAC">
        <w:rPr>
          <w:rFonts w:ascii="Calibri" w:hAnsi="Calibri"/>
          <w:lang w:val="en-US"/>
        </w:rPr>
        <w:t xml:space="preserve"> States with unhealthy air quality (ozone and fine particulate matter- PM</w:t>
      </w:r>
      <w:r w:rsidR="000B0EAC">
        <w:rPr>
          <w:rFonts w:ascii="Calibri" w:hAnsi="Calibri"/>
          <w:vertAlign w:val="subscript"/>
          <w:lang w:val="en-US"/>
        </w:rPr>
        <w:t>2.5</w:t>
      </w:r>
      <w:r w:rsidR="000B0EAC">
        <w:rPr>
          <w:rFonts w:ascii="Calibri" w:hAnsi="Calibri"/>
          <w:lang w:val="en-US"/>
        </w:rPr>
        <w:t>) have more stringent emission standards and restrict the number of hours that a generator may operate in an emergency mode.</w:t>
      </w:r>
      <w:r w:rsidR="00CD34B1">
        <w:rPr>
          <w:rStyle w:val="FootnoteReference"/>
          <w:rFonts w:ascii="Calibri" w:hAnsi="Calibri"/>
          <w:lang w:val="en-US"/>
        </w:rPr>
        <w:footnoteReference w:id="5"/>
      </w:r>
      <w:r w:rsidR="000B0EAC">
        <w:rPr>
          <w:rFonts w:ascii="Calibri" w:hAnsi="Calibri"/>
          <w:lang w:val="en-US"/>
        </w:rPr>
        <w:t xml:space="preserve"> </w:t>
      </w:r>
      <w:r w:rsidR="00CD34B1" w:rsidDel="00CD34B1">
        <w:rPr>
          <w:rStyle w:val="CommentReference"/>
        </w:rPr>
        <w:t xml:space="preserve"> </w:t>
      </w:r>
      <w:r w:rsidR="00CD34B1">
        <w:rPr>
          <w:rStyle w:val="CommentReference"/>
          <w:sz w:val="22"/>
          <w:szCs w:val="22"/>
        </w:rPr>
        <w:t xml:space="preserve">An affected unit can receive an exemption from an EPA or state “best standard” if and only if the owner or operator takes a permit restriction that limits emissions to a threshold below that of a major source (limited to emissions of no more than 10-100 tons per year, depending on the </w:t>
      </w:r>
      <w:r w:rsidR="001E0F80">
        <w:rPr>
          <w:rStyle w:val="CommentReference"/>
          <w:sz w:val="22"/>
          <w:szCs w:val="22"/>
        </w:rPr>
        <w:t xml:space="preserve">severity of air </w:t>
      </w:r>
      <w:r w:rsidR="001E0F80">
        <w:rPr>
          <w:rStyle w:val="CommentReference"/>
          <w:sz w:val="22"/>
          <w:szCs w:val="22"/>
        </w:rPr>
        <w:lastRenderedPageBreak/>
        <w:t>quality) and accepts both short and long-term emission standards to assure compliance with the permit restriction.</w:t>
      </w:r>
      <w:r w:rsidR="001E0F80">
        <w:rPr>
          <w:rStyle w:val="FootnoteReference"/>
          <w:rFonts w:ascii="Calibri" w:hAnsi="Calibri"/>
          <w:lang w:val="en-US"/>
        </w:rPr>
        <w:footnoteReference w:id="6"/>
      </w:r>
    </w:p>
    <w:p w:rsidR="00713A51" w:rsidRPr="00CD34B1" w:rsidRDefault="00713A51" w:rsidP="00CD34B1">
      <w:pPr>
        <w:pStyle w:val="ListParagraph"/>
        <w:ind w:left="360"/>
        <w:rPr>
          <w:lang w:val="en-US"/>
        </w:rPr>
      </w:pPr>
    </w:p>
    <w:p w:rsidR="005C767B" w:rsidRDefault="00FF7594" w:rsidP="005C767B">
      <w:pPr>
        <w:pStyle w:val="ListParagraph"/>
        <w:ind w:left="360"/>
        <w:rPr>
          <w:rFonts w:ascii="Calibri" w:hAnsi="Calibri"/>
          <w:lang w:val="en-US"/>
        </w:rPr>
      </w:pPr>
      <w:r>
        <w:rPr>
          <w:rFonts w:ascii="Calibri" w:hAnsi="Calibri"/>
          <w:lang w:val="en-US"/>
        </w:rPr>
        <w:t xml:space="preserve">The graph </w:t>
      </w:r>
      <w:r w:rsidR="00FD4782">
        <w:rPr>
          <w:rFonts w:ascii="Calibri" w:hAnsi="Calibri"/>
          <w:lang w:val="en-US"/>
        </w:rPr>
        <w:t xml:space="preserve">(Figure 1) </w:t>
      </w:r>
      <w:r>
        <w:rPr>
          <w:rFonts w:ascii="Calibri" w:hAnsi="Calibri"/>
          <w:lang w:val="en-US"/>
        </w:rPr>
        <w:t xml:space="preserve">below illustrates </w:t>
      </w:r>
      <w:r w:rsidR="00713A51">
        <w:rPr>
          <w:rFonts w:ascii="Calibri" w:hAnsi="Calibri"/>
          <w:lang w:val="en-US"/>
        </w:rPr>
        <w:t>how</w:t>
      </w:r>
      <w:r w:rsidR="005C767B">
        <w:rPr>
          <w:rFonts w:ascii="Calibri" w:hAnsi="Calibri"/>
          <w:lang w:val="en-US"/>
        </w:rPr>
        <w:t xml:space="preserve"> </w:t>
      </w:r>
      <w:r w:rsidR="000D6F51">
        <w:rPr>
          <w:rFonts w:ascii="Calibri" w:hAnsi="Calibri"/>
          <w:lang w:val="en-US"/>
        </w:rPr>
        <w:t xml:space="preserve">high </w:t>
      </w:r>
      <w:r w:rsidR="005C767B">
        <w:rPr>
          <w:rFonts w:ascii="Calibri" w:hAnsi="Calibri"/>
          <w:lang w:val="en-US"/>
        </w:rPr>
        <w:t>NO</w:t>
      </w:r>
      <w:r w:rsidR="005C767B">
        <w:rPr>
          <w:rFonts w:ascii="Calibri" w:hAnsi="Calibri"/>
          <w:vertAlign w:val="subscript"/>
          <w:lang w:val="en-US"/>
        </w:rPr>
        <w:t>X</w:t>
      </w:r>
      <w:r w:rsidR="005C767B">
        <w:rPr>
          <w:rFonts w:ascii="Calibri" w:hAnsi="Calibri"/>
          <w:lang w:val="en-US"/>
        </w:rPr>
        <w:t xml:space="preserve"> emissions </w:t>
      </w:r>
      <w:r w:rsidR="00713A51">
        <w:rPr>
          <w:rFonts w:ascii="Calibri" w:hAnsi="Calibri"/>
          <w:lang w:val="en-US"/>
        </w:rPr>
        <w:t xml:space="preserve">(largely from peaking plants) correlate with high energy demand </w:t>
      </w:r>
      <w:r w:rsidR="000D6F51">
        <w:rPr>
          <w:rFonts w:ascii="Calibri" w:hAnsi="Calibri"/>
          <w:lang w:val="en-US"/>
        </w:rPr>
        <w:t xml:space="preserve">for the case of </w:t>
      </w:r>
      <w:r w:rsidR="00A45F4D">
        <w:rPr>
          <w:rFonts w:ascii="Calibri" w:hAnsi="Calibri"/>
          <w:lang w:val="en-US"/>
        </w:rPr>
        <w:t xml:space="preserve">Connecticut </w:t>
      </w:r>
      <w:r w:rsidR="005C767B">
        <w:rPr>
          <w:rFonts w:ascii="Calibri" w:hAnsi="Calibri"/>
          <w:lang w:val="en-US"/>
        </w:rPr>
        <w:t>(detailed study completed by Connecticut Department of Environmental Protection).</w:t>
      </w:r>
    </w:p>
    <w:p w:rsidR="00A45F4D" w:rsidRDefault="00A45F4D" w:rsidP="005C767B">
      <w:pPr>
        <w:pStyle w:val="ListParagraph"/>
        <w:ind w:left="360"/>
        <w:rPr>
          <w:rFonts w:ascii="Calibri" w:hAnsi="Calibri"/>
          <w:lang w:val="en-US"/>
        </w:rPr>
      </w:pPr>
    </w:p>
    <w:p w:rsidR="00FD4782" w:rsidRDefault="00FD4782" w:rsidP="005C767B">
      <w:pPr>
        <w:pStyle w:val="ListParagraph"/>
        <w:ind w:left="360"/>
        <w:rPr>
          <w:rFonts w:ascii="Calibri" w:hAnsi="Calibri"/>
          <w:lang w:val="en-US"/>
        </w:rPr>
      </w:pPr>
      <w:r>
        <w:rPr>
          <w:rFonts w:ascii="Calibri" w:hAnsi="Calibri"/>
          <w:lang w:val="en-US"/>
        </w:rPr>
        <w:t>Figure 1</w:t>
      </w:r>
    </w:p>
    <w:p w:rsidR="00A45F4D" w:rsidRDefault="00A45F4D" w:rsidP="005C767B">
      <w:pPr>
        <w:pStyle w:val="ListParagraph"/>
        <w:ind w:left="360"/>
        <w:rPr>
          <w:rFonts w:ascii="Calibri" w:hAnsi="Calibri"/>
          <w:lang w:val="en-US"/>
        </w:rPr>
      </w:pPr>
      <w:r w:rsidRPr="00286DA8">
        <w:rPr>
          <w:rFonts w:ascii="Calibri" w:hAnsi="Calibri"/>
          <w:noProof/>
          <w:lang w:val="fr-BE" w:eastAsia="fr-BE"/>
        </w:rPr>
        <w:drawing>
          <wp:inline distT="0" distB="0" distL="0" distR="0">
            <wp:extent cx="4572638" cy="3429479"/>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572638" cy="3429479"/>
                    </a:xfrm>
                    <a:prstGeom prst="rect">
                      <a:avLst/>
                    </a:prstGeom>
                  </pic:spPr>
                </pic:pic>
              </a:graphicData>
            </a:graphic>
          </wp:inline>
        </w:drawing>
      </w:r>
    </w:p>
    <w:p w:rsidR="00A45F4D" w:rsidRPr="00BE67D9" w:rsidRDefault="00A45F4D" w:rsidP="005C767B">
      <w:pPr>
        <w:pStyle w:val="ListParagraph"/>
        <w:ind w:left="360"/>
        <w:rPr>
          <w:rFonts w:ascii="Calibri" w:hAnsi="Calibri"/>
          <w:lang w:val="en-US"/>
        </w:rPr>
      </w:pPr>
    </w:p>
    <w:p w:rsidR="00FF7594" w:rsidRPr="00FF7594" w:rsidRDefault="00FF7594" w:rsidP="00FF7594">
      <w:pPr>
        <w:rPr>
          <w:b/>
        </w:rPr>
      </w:pPr>
      <w:r w:rsidRPr="00BE67D9">
        <w:rPr>
          <w:rFonts w:ascii="Calibri" w:hAnsi="Calibri"/>
          <w:bCs/>
          <w:lang w:val="en-US"/>
        </w:rPr>
        <w:t xml:space="preserve">Various </w:t>
      </w:r>
      <w:r w:rsidR="00BE67D9">
        <w:rPr>
          <w:rFonts w:ascii="Calibri" w:hAnsi="Calibri"/>
          <w:bCs/>
          <w:lang w:val="en-US"/>
        </w:rPr>
        <w:t>peak reduction</w:t>
      </w:r>
      <w:r w:rsidRPr="00BE67D9">
        <w:rPr>
          <w:rFonts w:ascii="Calibri" w:hAnsi="Calibri"/>
          <w:bCs/>
          <w:lang w:val="en-US"/>
        </w:rPr>
        <w:t xml:space="preserve"> studies</w:t>
      </w:r>
      <w:r w:rsidR="00BE67D9">
        <w:rPr>
          <w:rStyle w:val="FootnoteReference"/>
          <w:rFonts w:ascii="Calibri" w:hAnsi="Calibri"/>
          <w:bCs/>
          <w:lang w:val="en-US"/>
        </w:rPr>
        <w:footnoteReference w:id="7"/>
      </w:r>
      <w:r w:rsidRPr="00BE67D9">
        <w:rPr>
          <w:rFonts w:ascii="Calibri" w:hAnsi="Calibri"/>
          <w:bCs/>
          <w:lang w:val="en-US"/>
        </w:rPr>
        <w:t xml:space="preserve"> how significant emissions </w:t>
      </w:r>
      <w:r w:rsidR="00BE67D9">
        <w:rPr>
          <w:rFonts w:ascii="Calibri" w:hAnsi="Calibri"/>
          <w:bCs/>
          <w:lang w:val="en-US"/>
        </w:rPr>
        <w:t xml:space="preserve">are at times of </w:t>
      </w:r>
      <w:r w:rsidRPr="00BE67D9">
        <w:rPr>
          <w:rFonts w:ascii="Calibri" w:hAnsi="Calibri"/>
          <w:bCs/>
          <w:lang w:val="en-US"/>
        </w:rPr>
        <w:t xml:space="preserve">peak electricity demand. For example: an ISO-NE analysis of regional data from 2005-2008 reveals that a 500 MW of peak reduction equates to around 3.6 </w:t>
      </w:r>
      <w:proofErr w:type="spellStart"/>
      <w:r w:rsidRPr="00BE67D9">
        <w:rPr>
          <w:rFonts w:ascii="Calibri" w:hAnsi="Calibri"/>
          <w:bCs/>
          <w:lang w:val="en-US"/>
        </w:rPr>
        <w:t>tons</w:t>
      </w:r>
      <w:r w:rsidR="00056894">
        <w:rPr>
          <w:rFonts w:ascii="Calibri" w:hAnsi="Calibri"/>
          <w:bCs/>
          <w:lang w:val="en-US"/>
        </w:rPr>
        <w:t>NOx</w:t>
      </w:r>
      <w:proofErr w:type="spellEnd"/>
      <w:r w:rsidRPr="00BE67D9">
        <w:rPr>
          <w:rFonts w:ascii="Calibri" w:hAnsi="Calibri"/>
          <w:bCs/>
          <w:lang w:val="en-US"/>
        </w:rPr>
        <w:t>/100MW; integrated resource planning modeling for 2013 (using 2009 Celt Forecast) concluded that a 300 MW of peak reduction would equate to around 4.2 tons</w:t>
      </w:r>
      <w:r w:rsidR="002719C2">
        <w:rPr>
          <w:rFonts w:ascii="Calibri" w:hAnsi="Calibri"/>
          <w:bCs/>
          <w:lang w:val="en-US"/>
        </w:rPr>
        <w:t xml:space="preserve"> </w:t>
      </w:r>
      <w:r w:rsidR="00056894">
        <w:rPr>
          <w:rFonts w:ascii="Calibri" w:hAnsi="Calibri"/>
          <w:bCs/>
          <w:lang w:val="en-US"/>
        </w:rPr>
        <w:t>NOx</w:t>
      </w:r>
      <w:r w:rsidRPr="00BE67D9">
        <w:rPr>
          <w:rFonts w:ascii="Calibri" w:hAnsi="Calibri"/>
          <w:bCs/>
          <w:lang w:val="en-US"/>
        </w:rPr>
        <w:t>/100MW)</w:t>
      </w:r>
      <w:r w:rsidR="00BE67D9" w:rsidRPr="00BE67D9">
        <w:rPr>
          <w:rFonts w:ascii="Calibri" w:hAnsi="Calibri"/>
          <w:bCs/>
          <w:lang w:val="en-US"/>
        </w:rPr>
        <w:t xml:space="preserve">; </w:t>
      </w:r>
      <w:r w:rsidR="002719C2">
        <w:rPr>
          <w:rFonts w:ascii="Calibri" w:hAnsi="Calibri"/>
          <w:bCs/>
          <w:lang w:val="en-US"/>
        </w:rPr>
        <w:t>The Connecticut Department of Environmental Protection (</w:t>
      </w:r>
      <w:r w:rsidR="00BE67D9" w:rsidRPr="00BE67D9">
        <w:rPr>
          <w:rFonts w:ascii="Calibri" w:hAnsi="Calibri"/>
          <w:bCs/>
          <w:lang w:val="en-US"/>
        </w:rPr>
        <w:t>DEP</w:t>
      </w:r>
      <w:r w:rsidR="002719C2">
        <w:rPr>
          <w:rFonts w:ascii="Calibri" w:hAnsi="Calibri"/>
          <w:bCs/>
          <w:lang w:val="en-US"/>
        </w:rPr>
        <w:t>)</w:t>
      </w:r>
      <w:r w:rsidR="00BE67D9" w:rsidRPr="00BE67D9">
        <w:rPr>
          <w:rFonts w:ascii="Calibri" w:hAnsi="Calibri"/>
          <w:bCs/>
          <w:lang w:val="en-US"/>
        </w:rPr>
        <w:t xml:space="preserve"> a</w:t>
      </w:r>
      <w:r w:rsidRPr="00BE67D9">
        <w:rPr>
          <w:rFonts w:ascii="Calibri" w:hAnsi="Calibri"/>
          <w:bCs/>
          <w:lang w:val="en-US"/>
        </w:rPr>
        <w:t xml:space="preserve">nalysis of top 4 demand days </w:t>
      </w:r>
      <w:r w:rsidR="00BE67D9" w:rsidRPr="00BE67D9">
        <w:rPr>
          <w:rFonts w:ascii="Calibri" w:hAnsi="Calibri"/>
          <w:bCs/>
          <w:lang w:val="en-US"/>
        </w:rPr>
        <w:t xml:space="preserve">for the period </w:t>
      </w:r>
      <w:r w:rsidRPr="00BE67D9">
        <w:rPr>
          <w:rFonts w:ascii="Calibri" w:hAnsi="Calibri"/>
          <w:bCs/>
          <w:lang w:val="en-US"/>
        </w:rPr>
        <w:t xml:space="preserve">2005-2009 </w:t>
      </w:r>
      <w:r w:rsidR="00BE67D9" w:rsidRPr="00BE67D9">
        <w:rPr>
          <w:rFonts w:ascii="Calibri" w:hAnsi="Calibri"/>
          <w:bCs/>
          <w:lang w:val="en-US"/>
        </w:rPr>
        <w:t>showed that 600 MW of peak re</w:t>
      </w:r>
      <w:r w:rsidRPr="00BE67D9">
        <w:rPr>
          <w:rFonts w:ascii="Calibri" w:hAnsi="Calibri"/>
          <w:bCs/>
          <w:lang w:val="en-US"/>
        </w:rPr>
        <w:t>duction equated to</w:t>
      </w:r>
      <w:r w:rsidR="00BE67D9" w:rsidRPr="00BE67D9">
        <w:rPr>
          <w:rFonts w:ascii="Calibri" w:hAnsi="Calibri"/>
          <w:bCs/>
          <w:lang w:val="en-US"/>
        </w:rPr>
        <w:t xml:space="preserve"> around 4.4 tons</w:t>
      </w:r>
      <w:r w:rsidR="002719C2">
        <w:rPr>
          <w:rFonts w:ascii="Calibri" w:hAnsi="Calibri"/>
          <w:bCs/>
          <w:lang w:val="en-US"/>
        </w:rPr>
        <w:t xml:space="preserve"> </w:t>
      </w:r>
      <w:r w:rsidR="00056894">
        <w:rPr>
          <w:rFonts w:ascii="Calibri" w:hAnsi="Calibri"/>
          <w:bCs/>
          <w:lang w:val="en-US"/>
        </w:rPr>
        <w:t>NOx</w:t>
      </w:r>
      <w:r w:rsidR="00BE67D9" w:rsidRPr="00BE67D9">
        <w:rPr>
          <w:rFonts w:ascii="Calibri" w:hAnsi="Calibri"/>
          <w:bCs/>
          <w:lang w:val="en-US"/>
        </w:rPr>
        <w:t>/100MW.</w:t>
      </w:r>
    </w:p>
    <w:p w:rsidR="005B72BD" w:rsidRPr="000D6F51" w:rsidRDefault="000D6F51" w:rsidP="000D6F51">
      <w:pPr>
        <w:pStyle w:val="ListParagraph"/>
        <w:numPr>
          <w:ilvl w:val="0"/>
          <w:numId w:val="2"/>
        </w:numPr>
        <w:rPr>
          <w:b/>
        </w:rPr>
      </w:pPr>
      <w:r>
        <w:rPr>
          <w:b/>
        </w:rPr>
        <w:t>Operation under peak or emergency mode according to the proposed definition</w:t>
      </w:r>
      <w:r w:rsidR="00987498" w:rsidRPr="00417E9A">
        <w:rPr>
          <w:b/>
        </w:rPr>
        <w:t xml:space="preserve"> will</w:t>
      </w:r>
      <w:r w:rsidR="00417E9A" w:rsidRPr="00417E9A">
        <w:rPr>
          <w:b/>
        </w:rPr>
        <w:t xml:space="preserve"> highly</w:t>
      </w:r>
      <w:r>
        <w:rPr>
          <w:b/>
        </w:rPr>
        <w:t xml:space="preserve"> likely occur in the</w:t>
      </w:r>
      <w:r w:rsidR="00482A88">
        <w:rPr>
          <w:b/>
        </w:rPr>
        <w:t xml:space="preserve"> </w:t>
      </w:r>
      <w:r w:rsidR="00987498" w:rsidRPr="00417E9A">
        <w:rPr>
          <w:b/>
        </w:rPr>
        <w:t xml:space="preserve">competitive wholesale </w:t>
      </w:r>
      <w:r w:rsidR="00036317">
        <w:rPr>
          <w:b/>
        </w:rPr>
        <w:t>electricity (energy and balancing)</w:t>
      </w:r>
      <w:r w:rsidR="00987498" w:rsidRPr="00417E9A">
        <w:rPr>
          <w:b/>
        </w:rPr>
        <w:t xml:space="preserve"> </w:t>
      </w:r>
      <w:r w:rsidR="00036317">
        <w:rPr>
          <w:b/>
        </w:rPr>
        <w:t xml:space="preserve">markets </w:t>
      </w:r>
      <w:r w:rsidR="00987498" w:rsidRPr="00417E9A">
        <w:rPr>
          <w:b/>
        </w:rPr>
        <w:t xml:space="preserve">where a variety of </w:t>
      </w:r>
      <w:r w:rsidR="00417E9A" w:rsidRPr="00417E9A">
        <w:rPr>
          <w:b/>
        </w:rPr>
        <w:t xml:space="preserve">low emission </w:t>
      </w:r>
      <w:r w:rsidR="00987498" w:rsidRPr="00417E9A">
        <w:rPr>
          <w:b/>
        </w:rPr>
        <w:t>alter</w:t>
      </w:r>
      <w:r w:rsidR="00417E9A" w:rsidRPr="00417E9A">
        <w:rPr>
          <w:b/>
        </w:rPr>
        <w:t xml:space="preserve">natives exist. </w:t>
      </w:r>
      <w:r w:rsidR="001862D3">
        <w:rPr>
          <w:b/>
        </w:rPr>
        <w:t>Allowing</w:t>
      </w:r>
      <w:r w:rsidR="0095091C">
        <w:rPr>
          <w:b/>
        </w:rPr>
        <w:t xml:space="preserve"> a sub-section of energy resources to benefit from air quality regulation</w:t>
      </w:r>
      <w:r>
        <w:rPr>
          <w:b/>
        </w:rPr>
        <w:t xml:space="preserve"> </w:t>
      </w:r>
      <w:r w:rsidR="0095091C">
        <w:rPr>
          <w:b/>
        </w:rPr>
        <w:t>derogations</w:t>
      </w:r>
      <w:r>
        <w:rPr>
          <w:b/>
        </w:rPr>
        <w:t xml:space="preserve"> in a</w:t>
      </w:r>
      <w:r w:rsidRPr="00417E9A">
        <w:rPr>
          <w:b/>
        </w:rPr>
        <w:t xml:space="preserve"> competitive marketplace </w:t>
      </w:r>
      <w:r>
        <w:rPr>
          <w:b/>
        </w:rPr>
        <w:t xml:space="preserve">for any length of time is </w:t>
      </w:r>
      <w:r w:rsidRPr="00417E9A">
        <w:rPr>
          <w:b/>
        </w:rPr>
        <w:t>market distorting.</w:t>
      </w:r>
      <w:r>
        <w:rPr>
          <w:b/>
        </w:rPr>
        <w:t xml:space="preserve"> </w:t>
      </w:r>
    </w:p>
    <w:p w:rsidR="00417E9A" w:rsidRPr="00DC7698" w:rsidRDefault="00DC7698" w:rsidP="00DC7698">
      <w:pPr>
        <w:pStyle w:val="ListParagraph"/>
        <w:numPr>
          <w:ilvl w:val="0"/>
          <w:numId w:val="4"/>
        </w:numPr>
        <w:rPr>
          <w:rFonts w:ascii="Calibri" w:hAnsi="Calibri"/>
          <w:lang w:val="en-US"/>
        </w:rPr>
      </w:pPr>
      <w:r w:rsidRPr="006C0220">
        <w:rPr>
          <w:rFonts w:ascii="Calibri" w:hAnsi="Calibri"/>
          <w:lang w:val="en-US"/>
        </w:rPr>
        <w:lastRenderedPageBreak/>
        <w:t xml:space="preserve">The Internal </w:t>
      </w:r>
      <w:r>
        <w:rPr>
          <w:rFonts w:ascii="Calibri" w:hAnsi="Calibri"/>
          <w:lang w:val="en-US"/>
        </w:rPr>
        <w:t xml:space="preserve">Energy </w:t>
      </w:r>
      <w:r w:rsidRPr="006C0220">
        <w:rPr>
          <w:rFonts w:ascii="Calibri" w:hAnsi="Calibri"/>
          <w:lang w:val="en-US"/>
        </w:rPr>
        <w:t xml:space="preserve">Market legislation </w:t>
      </w:r>
      <w:r>
        <w:rPr>
          <w:rFonts w:ascii="Calibri" w:hAnsi="Calibri"/>
          <w:lang w:val="en-US"/>
        </w:rPr>
        <w:t>(including the Third Package</w:t>
      </w:r>
      <w:r>
        <w:rPr>
          <w:rStyle w:val="FootnoteReference"/>
          <w:rFonts w:ascii="Calibri" w:hAnsi="Calibri"/>
          <w:lang w:val="en-US"/>
        </w:rPr>
        <w:footnoteReference w:id="8"/>
      </w:r>
      <w:r>
        <w:rPr>
          <w:rFonts w:ascii="Calibri" w:hAnsi="Calibri"/>
          <w:lang w:val="en-US"/>
        </w:rPr>
        <w:t xml:space="preserve"> and</w:t>
      </w:r>
      <w:r w:rsidRPr="006C0220">
        <w:rPr>
          <w:rFonts w:ascii="Calibri" w:hAnsi="Calibri"/>
          <w:lang w:val="en-US"/>
        </w:rPr>
        <w:t xml:space="preserve"> Network Codes</w:t>
      </w:r>
      <w:r>
        <w:rPr>
          <w:rStyle w:val="FootnoteReference"/>
          <w:rFonts w:ascii="Calibri" w:hAnsi="Calibri"/>
          <w:lang w:val="en-US"/>
        </w:rPr>
        <w:footnoteReference w:id="9"/>
      </w:r>
      <w:r>
        <w:rPr>
          <w:rFonts w:ascii="Calibri" w:hAnsi="Calibri"/>
          <w:lang w:val="en-US"/>
        </w:rPr>
        <w:t>) establishes a</w:t>
      </w:r>
      <w:r w:rsidRPr="006C0220">
        <w:rPr>
          <w:rFonts w:ascii="Calibri" w:hAnsi="Calibri"/>
          <w:lang w:val="en-US"/>
        </w:rPr>
        <w:t xml:space="preserve"> </w:t>
      </w:r>
      <w:proofErr w:type="spellStart"/>
      <w:r>
        <w:rPr>
          <w:rFonts w:ascii="Calibri" w:hAnsi="Calibri"/>
          <w:lang w:val="en-US"/>
        </w:rPr>
        <w:t>liberalised</w:t>
      </w:r>
      <w:proofErr w:type="spellEnd"/>
      <w:r>
        <w:rPr>
          <w:rFonts w:ascii="Calibri" w:hAnsi="Calibri"/>
          <w:lang w:val="en-US"/>
        </w:rPr>
        <w:t xml:space="preserve"> and integrated</w:t>
      </w:r>
      <w:r w:rsidRPr="006C0220">
        <w:rPr>
          <w:rFonts w:ascii="Calibri" w:hAnsi="Calibri"/>
          <w:lang w:val="en-US"/>
        </w:rPr>
        <w:t xml:space="preserve"> energy market. </w:t>
      </w:r>
      <w:r w:rsidRPr="00DC7698">
        <w:rPr>
          <w:rFonts w:ascii="Calibri" w:hAnsi="Calibri"/>
          <w:lang w:val="en-US"/>
        </w:rPr>
        <w:t>E</w:t>
      </w:r>
      <w:r w:rsidR="00417E9A" w:rsidRPr="00DC7698">
        <w:rPr>
          <w:rFonts w:ascii="Calibri" w:hAnsi="Calibri"/>
          <w:lang w:val="en-US"/>
        </w:rPr>
        <w:t xml:space="preserve">conomic dispatch applies and is in accordance with a merit order where the lowest cost generation is dispatched to meet energy demand at any point in time. Power clearing prices are highest when net energy demand (not served by renewable energy generation) </w:t>
      </w:r>
      <w:r w:rsidR="009D5F7B" w:rsidRPr="00DC7698">
        <w:rPr>
          <w:rFonts w:ascii="Calibri" w:hAnsi="Calibri"/>
          <w:lang w:val="en-US"/>
        </w:rPr>
        <w:t>peaks</w:t>
      </w:r>
      <w:r w:rsidR="00417E9A" w:rsidRPr="00DC7698">
        <w:rPr>
          <w:rFonts w:ascii="Calibri" w:hAnsi="Calibri"/>
          <w:lang w:val="en-US"/>
        </w:rPr>
        <w:t xml:space="preserve">. Plant exempt from the </w:t>
      </w:r>
      <w:r w:rsidR="009D5F7B" w:rsidRPr="00DC7698">
        <w:rPr>
          <w:rFonts w:ascii="Calibri" w:hAnsi="Calibri"/>
          <w:lang w:val="en-US"/>
        </w:rPr>
        <w:t>BREF’s BAT-AELs</w:t>
      </w:r>
      <w:r w:rsidR="00417E9A" w:rsidRPr="00DC7698">
        <w:rPr>
          <w:rFonts w:ascii="Calibri" w:hAnsi="Calibri"/>
          <w:lang w:val="en-US"/>
        </w:rPr>
        <w:t xml:space="preserve"> </w:t>
      </w:r>
      <w:r w:rsidR="009D5F7B" w:rsidRPr="00DC7698">
        <w:rPr>
          <w:rFonts w:ascii="Calibri" w:hAnsi="Calibri"/>
          <w:lang w:val="en-US"/>
        </w:rPr>
        <w:t xml:space="preserve">according to the proposed peak and emergency mode definitions </w:t>
      </w:r>
      <w:r w:rsidR="00417E9A" w:rsidRPr="00DC7698">
        <w:rPr>
          <w:rFonts w:ascii="Calibri" w:hAnsi="Calibri"/>
          <w:lang w:val="en-US"/>
        </w:rPr>
        <w:t>will operate when</w:t>
      </w:r>
      <w:r w:rsidR="009D5F7B" w:rsidRPr="00DC7698">
        <w:rPr>
          <w:rFonts w:ascii="Calibri" w:hAnsi="Calibri"/>
          <w:lang w:val="en-US"/>
        </w:rPr>
        <w:t xml:space="preserve"> it is most profitable to do so. </w:t>
      </w:r>
    </w:p>
    <w:p w:rsidR="004B1B49" w:rsidRDefault="00EA7B26" w:rsidP="00EA7B26">
      <w:pPr>
        <w:pStyle w:val="ListParagraph"/>
        <w:numPr>
          <w:ilvl w:val="0"/>
          <w:numId w:val="4"/>
        </w:numPr>
        <w:rPr>
          <w:rFonts w:ascii="Calibri" w:hAnsi="Calibri"/>
          <w:lang w:val="en-US"/>
        </w:rPr>
      </w:pPr>
      <w:r>
        <w:rPr>
          <w:rFonts w:ascii="Calibri" w:hAnsi="Calibri"/>
          <w:lang w:val="en-US"/>
        </w:rPr>
        <w:t xml:space="preserve">With the possible exception of generation literally restricted to operating during actual emergencies, declared by the system operator under specified conditions, there is simply no good reason to allow thermal generation plant bidding into the market </w:t>
      </w:r>
      <w:r w:rsidRPr="006C0220">
        <w:rPr>
          <w:rFonts w:ascii="Calibri" w:hAnsi="Calibri"/>
          <w:lang w:val="en-US"/>
        </w:rPr>
        <w:t>to run unabated</w:t>
      </w:r>
      <w:r>
        <w:rPr>
          <w:rFonts w:ascii="Calibri" w:hAnsi="Calibri"/>
          <w:lang w:val="en-US"/>
        </w:rPr>
        <w:t>,</w:t>
      </w:r>
      <w:r w:rsidRPr="006C0220">
        <w:rPr>
          <w:rFonts w:ascii="Calibri" w:hAnsi="Calibri"/>
          <w:lang w:val="en-US"/>
        </w:rPr>
        <w:t xml:space="preserve"> witho</w:t>
      </w:r>
      <w:r>
        <w:rPr>
          <w:rFonts w:ascii="Calibri" w:hAnsi="Calibri"/>
          <w:lang w:val="en-US"/>
        </w:rPr>
        <w:t xml:space="preserve">ut internalizing external costs, enabling it to undercut the bid prices of less polluting alternatives, pushing these competing alternatives out of market. </w:t>
      </w:r>
      <w:r w:rsidR="00DD6E01">
        <w:rPr>
          <w:rFonts w:ascii="Calibri" w:hAnsi="Calibri"/>
          <w:lang w:val="en-US"/>
        </w:rPr>
        <w:t xml:space="preserve"> </w:t>
      </w:r>
    </w:p>
    <w:p w:rsidR="00DD6E01" w:rsidRDefault="00DD6E01" w:rsidP="00DD6E01">
      <w:pPr>
        <w:pStyle w:val="ListParagraph"/>
        <w:ind w:left="1080"/>
        <w:rPr>
          <w:rFonts w:ascii="Calibri" w:hAnsi="Calibri"/>
          <w:lang w:val="en-US"/>
        </w:rPr>
      </w:pPr>
    </w:p>
    <w:p w:rsidR="004B1B49" w:rsidRPr="00DD6E01" w:rsidRDefault="004B1B49" w:rsidP="004B1B49">
      <w:pPr>
        <w:pStyle w:val="ListParagraph"/>
        <w:numPr>
          <w:ilvl w:val="0"/>
          <w:numId w:val="2"/>
        </w:numPr>
        <w:rPr>
          <w:rFonts w:ascii="Calibri" w:hAnsi="Calibri"/>
          <w:b/>
          <w:lang w:val="en-US"/>
        </w:rPr>
      </w:pPr>
      <w:r w:rsidRPr="00DD6E01">
        <w:rPr>
          <w:rFonts w:ascii="Calibri" w:hAnsi="Calibri"/>
          <w:b/>
          <w:lang w:val="en-US"/>
        </w:rPr>
        <w:t>Reliability</w:t>
      </w:r>
      <w:r w:rsidR="00DD6E01">
        <w:rPr>
          <w:rFonts w:ascii="Calibri" w:hAnsi="Calibri"/>
          <w:b/>
          <w:lang w:val="en-US"/>
        </w:rPr>
        <w:t xml:space="preserve"> (system adequacy) </w:t>
      </w:r>
      <w:r w:rsidRPr="00DD6E01">
        <w:rPr>
          <w:rFonts w:ascii="Calibri" w:hAnsi="Calibri"/>
          <w:b/>
          <w:lang w:val="en-US"/>
        </w:rPr>
        <w:t xml:space="preserve">cannot be </w:t>
      </w:r>
      <w:r w:rsidR="00835F8F">
        <w:rPr>
          <w:rFonts w:ascii="Calibri" w:hAnsi="Calibri"/>
          <w:b/>
          <w:lang w:val="en-US"/>
        </w:rPr>
        <w:t>a reason for peak mode derogation</w:t>
      </w:r>
      <w:r w:rsidRPr="00DD6E01">
        <w:rPr>
          <w:rFonts w:ascii="Calibri" w:hAnsi="Calibri"/>
          <w:b/>
          <w:lang w:val="en-US"/>
        </w:rPr>
        <w:t>; power sector market design and power sector policies should determine wholesale market outcom</w:t>
      </w:r>
      <w:r w:rsidR="00835F8F">
        <w:rPr>
          <w:rFonts w:ascii="Calibri" w:hAnsi="Calibri"/>
          <w:b/>
          <w:lang w:val="en-US"/>
        </w:rPr>
        <w:t>es</w:t>
      </w:r>
      <w:r w:rsidR="00056894">
        <w:rPr>
          <w:rFonts w:ascii="Calibri" w:hAnsi="Calibri"/>
          <w:b/>
          <w:lang w:val="en-US"/>
        </w:rPr>
        <w:t xml:space="preserve"> and the need to intervene to ensure reliability</w:t>
      </w:r>
      <w:r w:rsidR="00835F8F">
        <w:rPr>
          <w:rFonts w:ascii="Calibri" w:hAnsi="Calibri"/>
          <w:b/>
          <w:lang w:val="en-US"/>
        </w:rPr>
        <w:t xml:space="preserve">. </w:t>
      </w:r>
      <w:r w:rsidR="002756CD">
        <w:rPr>
          <w:rFonts w:ascii="Calibri" w:hAnsi="Calibri"/>
          <w:b/>
          <w:lang w:val="en-US"/>
        </w:rPr>
        <w:t>The</w:t>
      </w:r>
      <w:r w:rsidR="00DD6E01" w:rsidRPr="00DD6E01">
        <w:rPr>
          <w:rFonts w:ascii="Calibri" w:hAnsi="Calibri"/>
          <w:b/>
          <w:lang w:val="en-US"/>
        </w:rPr>
        <w:t xml:space="preserve"> design </w:t>
      </w:r>
      <w:r w:rsidR="002756CD">
        <w:rPr>
          <w:rFonts w:ascii="Calibri" w:hAnsi="Calibri"/>
          <w:b/>
          <w:lang w:val="en-US"/>
        </w:rPr>
        <w:t>of BAT-AE</w:t>
      </w:r>
      <w:r w:rsidR="00835F8F">
        <w:rPr>
          <w:rFonts w:ascii="Calibri" w:hAnsi="Calibri"/>
          <w:b/>
          <w:lang w:val="en-US"/>
        </w:rPr>
        <w:t>P</w:t>
      </w:r>
      <w:r w:rsidR="002756CD">
        <w:rPr>
          <w:rFonts w:ascii="Calibri" w:hAnsi="Calibri"/>
          <w:b/>
          <w:lang w:val="en-US"/>
        </w:rPr>
        <w:t xml:space="preserve">Ls </w:t>
      </w:r>
      <w:r w:rsidR="00835F8F">
        <w:rPr>
          <w:rFonts w:ascii="Calibri" w:hAnsi="Calibri"/>
          <w:b/>
          <w:lang w:val="en-US"/>
        </w:rPr>
        <w:t xml:space="preserve">should not be designed around </w:t>
      </w:r>
      <w:r w:rsidR="00AD61FA">
        <w:rPr>
          <w:rFonts w:ascii="Calibri" w:hAnsi="Calibri"/>
          <w:b/>
          <w:lang w:val="en-US"/>
        </w:rPr>
        <w:t xml:space="preserve">power </w:t>
      </w:r>
      <w:r w:rsidR="00835F8F">
        <w:rPr>
          <w:rFonts w:ascii="Calibri" w:hAnsi="Calibri"/>
          <w:b/>
          <w:lang w:val="en-US"/>
        </w:rPr>
        <w:t>market functioning,</w:t>
      </w:r>
      <w:r w:rsidR="00835F8F" w:rsidRPr="00835F8F">
        <w:rPr>
          <w:rFonts w:ascii="Calibri" w:hAnsi="Calibri"/>
          <w:b/>
          <w:lang w:val="en-US"/>
        </w:rPr>
        <w:t xml:space="preserve"> </w:t>
      </w:r>
      <w:r w:rsidR="00835F8F">
        <w:rPr>
          <w:rFonts w:ascii="Calibri" w:hAnsi="Calibri"/>
          <w:b/>
          <w:lang w:val="en-US"/>
        </w:rPr>
        <w:t>perceived or real; instead, t</w:t>
      </w:r>
      <w:r w:rsidR="00835F8F" w:rsidRPr="00DD6E01">
        <w:rPr>
          <w:rFonts w:ascii="Calibri" w:hAnsi="Calibri"/>
          <w:b/>
          <w:lang w:val="en-US"/>
        </w:rPr>
        <w:t>he BAT-AE</w:t>
      </w:r>
      <w:r w:rsidR="00835F8F">
        <w:rPr>
          <w:rFonts w:ascii="Calibri" w:hAnsi="Calibri"/>
          <w:b/>
          <w:lang w:val="en-US"/>
        </w:rPr>
        <w:t>P</w:t>
      </w:r>
      <w:r w:rsidR="00835F8F" w:rsidRPr="00DD6E01">
        <w:rPr>
          <w:rFonts w:ascii="Calibri" w:hAnsi="Calibri"/>
          <w:b/>
          <w:lang w:val="en-US"/>
        </w:rPr>
        <w:t xml:space="preserve">Ls </w:t>
      </w:r>
      <w:r w:rsidR="00835F8F">
        <w:rPr>
          <w:rFonts w:ascii="Calibri" w:hAnsi="Calibri"/>
          <w:b/>
          <w:lang w:val="en-US"/>
        </w:rPr>
        <w:t xml:space="preserve">should effectively </w:t>
      </w:r>
      <w:r w:rsidR="009627BA">
        <w:rPr>
          <w:rFonts w:ascii="Calibri" w:hAnsi="Calibri"/>
          <w:b/>
          <w:lang w:val="en-US"/>
        </w:rPr>
        <w:t>determine whether or not a</w:t>
      </w:r>
      <w:r w:rsidR="00835F8F">
        <w:rPr>
          <w:rFonts w:ascii="Calibri" w:hAnsi="Calibri"/>
          <w:b/>
          <w:lang w:val="en-US"/>
        </w:rPr>
        <w:t xml:space="preserve"> combustion plant is eligible to participate in the power market.</w:t>
      </w:r>
    </w:p>
    <w:p w:rsidR="00AD61FA" w:rsidRDefault="00EA7B26" w:rsidP="00AD61FA">
      <w:pPr>
        <w:pStyle w:val="ListParagraph"/>
        <w:numPr>
          <w:ilvl w:val="0"/>
          <w:numId w:val="5"/>
        </w:numPr>
        <w:rPr>
          <w:rFonts w:ascii="Calibri" w:hAnsi="Calibri"/>
          <w:lang w:val="en-US"/>
        </w:rPr>
      </w:pPr>
      <w:r>
        <w:rPr>
          <w:rFonts w:ascii="Calibri" w:hAnsi="Calibri"/>
          <w:lang w:val="en-US"/>
        </w:rPr>
        <w:t>Massive investments have been made in low emission energy technologies in response to market signals, policies and stated long term goals.  As a result there is an ample surplus of generating capacity in most markets, so that there is no generation adequacy rationale for the proposed exemptions. It is the regulator</w:t>
      </w:r>
      <w:r w:rsidR="00DD6E01">
        <w:rPr>
          <w:rFonts w:ascii="Calibri" w:hAnsi="Calibri"/>
          <w:lang w:val="en-US"/>
        </w:rPr>
        <w:t>’</w:t>
      </w:r>
      <w:r>
        <w:rPr>
          <w:rFonts w:ascii="Calibri" w:hAnsi="Calibri"/>
          <w:lang w:val="en-US"/>
        </w:rPr>
        <w:t>s role to make sure that all options able to provide services required by the market c</w:t>
      </w:r>
      <w:r w:rsidR="00AD61FA">
        <w:rPr>
          <w:rFonts w:ascii="Calibri" w:hAnsi="Calibri"/>
          <w:lang w:val="en-US"/>
        </w:rPr>
        <w:t>an do so and are treated fairly.</w:t>
      </w:r>
    </w:p>
    <w:p w:rsidR="00C95F6B" w:rsidRPr="00AD61FA" w:rsidRDefault="008C22D4" w:rsidP="00AD61FA">
      <w:pPr>
        <w:pStyle w:val="ListParagraph"/>
        <w:numPr>
          <w:ilvl w:val="0"/>
          <w:numId w:val="5"/>
        </w:numPr>
        <w:rPr>
          <w:rFonts w:ascii="Calibri" w:hAnsi="Calibri"/>
          <w:lang w:val="en-US"/>
        </w:rPr>
      </w:pPr>
      <w:r w:rsidRPr="00AD61FA">
        <w:rPr>
          <w:rFonts w:ascii="Calibri" w:hAnsi="Calibri"/>
          <w:lang w:val="en-US"/>
        </w:rPr>
        <w:t xml:space="preserve">Recently, there have been cases of new, efficient, relatively low emission gas plants being mothballed while older, more polluting </w:t>
      </w:r>
      <w:r w:rsidR="009627BA">
        <w:rPr>
          <w:rFonts w:ascii="Calibri" w:hAnsi="Calibri"/>
          <w:lang w:val="en-US"/>
        </w:rPr>
        <w:t xml:space="preserve">mid-merit </w:t>
      </w:r>
      <w:r w:rsidRPr="00AD61FA">
        <w:rPr>
          <w:rFonts w:ascii="Calibri" w:hAnsi="Calibri"/>
          <w:lang w:val="en-US"/>
        </w:rPr>
        <w:t>plant</w:t>
      </w:r>
      <w:r w:rsidR="009627BA">
        <w:rPr>
          <w:rFonts w:ascii="Calibri" w:hAnsi="Calibri"/>
          <w:lang w:val="en-US"/>
        </w:rPr>
        <w:t xml:space="preserve"> </w:t>
      </w:r>
      <w:r w:rsidRPr="00AD61FA">
        <w:rPr>
          <w:rFonts w:ascii="Calibri" w:hAnsi="Calibri"/>
          <w:lang w:val="en-US"/>
        </w:rPr>
        <w:t>continues to</w:t>
      </w:r>
      <w:r w:rsidR="00AD61FA" w:rsidRPr="00AD61FA">
        <w:rPr>
          <w:rFonts w:ascii="Calibri" w:hAnsi="Calibri"/>
          <w:lang w:val="en-US"/>
        </w:rPr>
        <w:t xml:space="preserve"> operate profitably. The low Emissions Trading Scheme (ETS)</w:t>
      </w:r>
      <w:r w:rsidRPr="00AD61FA">
        <w:rPr>
          <w:rFonts w:ascii="Calibri" w:hAnsi="Calibri"/>
          <w:lang w:val="en-US"/>
        </w:rPr>
        <w:t xml:space="preserve"> allowance price has not been able to bridge the difference between the clean dark spread and clean spark spread</w:t>
      </w:r>
      <w:r w:rsidR="002756CD">
        <w:rPr>
          <w:rStyle w:val="FootnoteReference"/>
          <w:rFonts w:ascii="Calibri" w:hAnsi="Calibri"/>
          <w:lang w:val="en-US"/>
        </w:rPr>
        <w:footnoteReference w:id="10"/>
      </w:r>
      <w:r w:rsidRPr="00AD61FA">
        <w:rPr>
          <w:rFonts w:ascii="Calibri" w:hAnsi="Calibri"/>
          <w:lang w:val="en-US"/>
        </w:rPr>
        <w:t xml:space="preserve">. </w:t>
      </w:r>
      <w:r w:rsidR="009627BA">
        <w:rPr>
          <w:rFonts w:ascii="Calibri" w:hAnsi="Calibri"/>
          <w:lang w:val="en-US"/>
        </w:rPr>
        <w:t>Derogations</w:t>
      </w:r>
      <w:r w:rsidR="00AD61FA" w:rsidRPr="00AD61FA">
        <w:rPr>
          <w:rFonts w:ascii="Calibri" w:hAnsi="Calibri"/>
          <w:lang w:val="en-US"/>
        </w:rPr>
        <w:t xml:space="preserve"> from compliance with </w:t>
      </w:r>
      <w:r w:rsidR="00AD61FA">
        <w:rPr>
          <w:rFonts w:ascii="Calibri" w:hAnsi="Calibri"/>
          <w:lang w:val="en-US"/>
        </w:rPr>
        <w:t>BAT-AE</w:t>
      </w:r>
      <w:r w:rsidR="009627BA">
        <w:rPr>
          <w:rFonts w:ascii="Calibri" w:hAnsi="Calibri"/>
          <w:lang w:val="en-US"/>
        </w:rPr>
        <w:t>P</w:t>
      </w:r>
      <w:r w:rsidR="00AD61FA">
        <w:rPr>
          <w:rFonts w:ascii="Calibri" w:hAnsi="Calibri"/>
          <w:lang w:val="en-US"/>
        </w:rPr>
        <w:t>Ls</w:t>
      </w:r>
      <w:r w:rsidR="00AD61FA" w:rsidRPr="00AD61FA">
        <w:rPr>
          <w:rFonts w:ascii="Calibri" w:hAnsi="Calibri"/>
          <w:lang w:val="en-US"/>
        </w:rPr>
        <w:t>, as proposed in this BREF, will only exacerbate this situation.</w:t>
      </w:r>
      <w:r w:rsidR="00AD61FA">
        <w:rPr>
          <w:rFonts w:ascii="Calibri" w:hAnsi="Calibri"/>
          <w:lang w:val="en-US"/>
        </w:rPr>
        <w:t xml:space="preserve"> </w:t>
      </w:r>
      <w:r w:rsidRPr="00AD61FA">
        <w:rPr>
          <w:rFonts w:ascii="Calibri" w:hAnsi="Calibri"/>
          <w:lang w:val="en-US"/>
        </w:rPr>
        <w:t xml:space="preserve">There is thus a </w:t>
      </w:r>
      <w:r w:rsidR="00C95F6B" w:rsidRPr="00AD61FA">
        <w:rPr>
          <w:rFonts w:ascii="Calibri" w:hAnsi="Calibri"/>
          <w:lang w:val="en-US"/>
        </w:rPr>
        <w:t>high risk in Europe today, and already a reality in some regions, that investment will flow to the most polluting power generation assets</w:t>
      </w:r>
      <w:r w:rsidR="00B35827" w:rsidRPr="00AD61FA">
        <w:rPr>
          <w:rFonts w:ascii="Calibri" w:hAnsi="Calibri"/>
          <w:lang w:val="en-US"/>
        </w:rPr>
        <w:t xml:space="preserve">, rendering less polluting </w:t>
      </w:r>
      <w:r w:rsidR="00C95F6B" w:rsidRPr="00AD61FA">
        <w:rPr>
          <w:rFonts w:ascii="Calibri" w:hAnsi="Calibri"/>
          <w:lang w:val="en-US"/>
        </w:rPr>
        <w:t>mor</w:t>
      </w:r>
      <w:r w:rsidR="00B35827" w:rsidRPr="00AD61FA">
        <w:rPr>
          <w:rFonts w:ascii="Calibri" w:hAnsi="Calibri"/>
          <w:lang w:val="en-US"/>
        </w:rPr>
        <w:t xml:space="preserve">e flexible </w:t>
      </w:r>
      <w:r w:rsidR="00C95F6B" w:rsidRPr="00AD61FA">
        <w:rPr>
          <w:rFonts w:ascii="Calibri" w:hAnsi="Calibri"/>
          <w:lang w:val="en-US"/>
        </w:rPr>
        <w:t xml:space="preserve">generation uncompetitive. This costs EU citizens dearly in terms of worse air pollution and climate change than is necessary. </w:t>
      </w:r>
      <w:r w:rsidR="00C95F6B" w:rsidRPr="00AD61FA">
        <w:rPr>
          <w:rFonts w:ascii="Calibri" w:hAnsi="Calibri"/>
          <w:b/>
          <w:lang w:val="en-US"/>
        </w:rPr>
        <w:t xml:space="preserve">This is a key reason why there should be a level playing field as far as possible with respect to </w:t>
      </w:r>
      <w:r w:rsidR="00D52DD7" w:rsidRPr="00AD61FA">
        <w:rPr>
          <w:rFonts w:ascii="Calibri" w:hAnsi="Calibri"/>
          <w:b/>
          <w:lang w:val="en-US"/>
        </w:rPr>
        <w:t xml:space="preserve">setting of </w:t>
      </w:r>
      <w:r w:rsidR="00C95F6B" w:rsidRPr="00AD61FA">
        <w:rPr>
          <w:rFonts w:ascii="Calibri" w:hAnsi="Calibri"/>
          <w:b/>
          <w:lang w:val="en-US"/>
        </w:rPr>
        <w:t>the BAT-AE</w:t>
      </w:r>
      <w:r w:rsidR="009627BA">
        <w:rPr>
          <w:rFonts w:ascii="Calibri" w:hAnsi="Calibri"/>
          <w:b/>
          <w:lang w:val="en-US"/>
        </w:rPr>
        <w:t>P</w:t>
      </w:r>
      <w:r w:rsidR="00C95F6B" w:rsidRPr="00AD61FA">
        <w:rPr>
          <w:rFonts w:ascii="Calibri" w:hAnsi="Calibri"/>
          <w:b/>
          <w:lang w:val="en-US"/>
        </w:rPr>
        <w:t>Ls for power generation from different fuels and for new and existing plants. In wholesale electricity markets, and capacity markets where they exist, n</w:t>
      </w:r>
      <w:r w:rsidRPr="00AD61FA">
        <w:rPr>
          <w:rFonts w:ascii="Calibri" w:hAnsi="Calibri"/>
          <w:b/>
          <w:lang w:val="en-US"/>
        </w:rPr>
        <w:t xml:space="preserve">o such distinctions are applied. The design of the EU ETS is also free of such distinctions. Non-discrimination </w:t>
      </w:r>
      <w:r w:rsidR="00DC7698">
        <w:rPr>
          <w:rFonts w:ascii="Calibri" w:hAnsi="Calibri"/>
          <w:b/>
          <w:lang w:val="en-US"/>
        </w:rPr>
        <w:t xml:space="preserve">in markets </w:t>
      </w:r>
      <w:r w:rsidRPr="00AD61FA">
        <w:rPr>
          <w:rFonts w:ascii="Calibri" w:hAnsi="Calibri"/>
          <w:b/>
          <w:lang w:val="en-US"/>
        </w:rPr>
        <w:t>is</w:t>
      </w:r>
      <w:r w:rsidR="008F431A">
        <w:rPr>
          <w:rFonts w:ascii="Calibri" w:hAnsi="Calibri"/>
          <w:b/>
          <w:lang w:val="en-US"/>
        </w:rPr>
        <w:t>,</w:t>
      </w:r>
      <w:r w:rsidR="009627BA">
        <w:rPr>
          <w:rFonts w:ascii="Calibri" w:hAnsi="Calibri"/>
          <w:b/>
          <w:lang w:val="en-US"/>
        </w:rPr>
        <w:t xml:space="preserve"> rightly</w:t>
      </w:r>
      <w:r w:rsidR="008F431A">
        <w:rPr>
          <w:rFonts w:ascii="Calibri" w:hAnsi="Calibri"/>
          <w:b/>
          <w:lang w:val="en-US"/>
        </w:rPr>
        <w:t>,</w:t>
      </w:r>
      <w:r w:rsidRPr="00AD61FA">
        <w:rPr>
          <w:rFonts w:ascii="Calibri" w:hAnsi="Calibri"/>
          <w:b/>
          <w:lang w:val="en-US"/>
        </w:rPr>
        <w:t xml:space="preserve"> </w:t>
      </w:r>
      <w:r w:rsidR="002756CD" w:rsidRPr="00AD61FA">
        <w:rPr>
          <w:rFonts w:ascii="Calibri" w:hAnsi="Calibri"/>
          <w:b/>
          <w:lang w:val="en-US"/>
        </w:rPr>
        <w:t>a principle strongly promoted by industry</w:t>
      </w:r>
      <w:r w:rsidR="002756CD">
        <w:rPr>
          <w:rStyle w:val="FootnoteReference"/>
          <w:rFonts w:ascii="Calibri" w:hAnsi="Calibri"/>
          <w:b/>
          <w:lang w:val="en-US"/>
        </w:rPr>
        <w:footnoteReference w:id="11"/>
      </w:r>
      <w:r w:rsidR="002756CD" w:rsidRPr="00AD61FA">
        <w:rPr>
          <w:rFonts w:ascii="Calibri" w:hAnsi="Calibri"/>
          <w:b/>
          <w:lang w:val="en-US"/>
        </w:rPr>
        <w:t>.</w:t>
      </w:r>
    </w:p>
    <w:p w:rsidR="00DC7698" w:rsidRDefault="00AF5FD0" w:rsidP="006D2CCC">
      <w:pPr>
        <w:pStyle w:val="ListParagraph"/>
        <w:numPr>
          <w:ilvl w:val="0"/>
          <w:numId w:val="5"/>
        </w:numPr>
        <w:rPr>
          <w:rFonts w:ascii="Calibri" w:hAnsi="Calibri"/>
          <w:lang w:val="en-US"/>
        </w:rPr>
      </w:pPr>
      <w:r>
        <w:rPr>
          <w:rFonts w:ascii="Calibri" w:hAnsi="Calibri"/>
          <w:lang w:val="en-US"/>
        </w:rPr>
        <w:t xml:space="preserve">Some plant owners may be concerned that price caps in power markets prevent scarcity pricing and that average wholesale power market prices are at present relatively low. </w:t>
      </w:r>
      <w:r>
        <w:rPr>
          <w:rFonts w:ascii="Calibri" w:hAnsi="Calibri"/>
          <w:lang w:val="en-US"/>
        </w:rPr>
        <w:lastRenderedPageBreak/>
        <w:t>Overcapacity in most European power markets</w:t>
      </w:r>
      <w:r w:rsidR="00593E19">
        <w:rPr>
          <w:rFonts w:ascii="Calibri" w:hAnsi="Calibri"/>
          <w:lang w:val="en-US"/>
        </w:rPr>
        <w:t xml:space="preserve"> </w:t>
      </w:r>
      <w:r>
        <w:rPr>
          <w:rFonts w:ascii="Calibri" w:hAnsi="Calibri"/>
          <w:lang w:val="en-US"/>
        </w:rPr>
        <w:t>is a key reason for the latter</w:t>
      </w:r>
      <w:r w:rsidR="00A3248F">
        <w:rPr>
          <w:rFonts w:ascii="Calibri" w:hAnsi="Calibri"/>
          <w:lang w:val="en-US"/>
        </w:rPr>
        <w:t>. With</w:t>
      </w:r>
      <w:r w:rsidR="00AE33BF">
        <w:rPr>
          <w:rFonts w:ascii="Calibri" w:hAnsi="Calibri"/>
          <w:lang w:val="en-US"/>
        </w:rPr>
        <w:t xml:space="preserve"> EU policies</w:t>
      </w:r>
      <w:r w:rsidR="006D2CCC">
        <w:rPr>
          <w:rStyle w:val="FootnoteReference"/>
          <w:rFonts w:ascii="Calibri" w:hAnsi="Calibri"/>
          <w:lang w:val="en-US"/>
        </w:rPr>
        <w:footnoteReference w:id="12"/>
      </w:r>
      <w:r w:rsidR="00A3248F">
        <w:rPr>
          <w:rFonts w:ascii="Calibri" w:hAnsi="Calibri"/>
          <w:lang w:val="en-US"/>
        </w:rPr>
        <w:t xml:space="preserve"> continuing to promote</w:t>
      </w:r>
      <w:r w:rsidR="00AE33BF">
        <w:rPr>
          <w:rFonts w:ascii="Calibri" w:hAnsi="Calibri"/>
          <w:lang w:val="en-US"/>
        </w:rPr>
        <w:t xml:space="preserve"> RES and energy efficiency</w:t>
      </w:r>
      <w:r w:rsidR="00057A5D">
        <w:rPr>
          <w:rFonts w:ascii="Calibri" w:hAnsi="Calibri"/>
          <w:lang w:val="en-US"/>
        </w:rPr>
        <w:t>, excess marginal capacity can be expected to retire</w:t>
      </w:r>
      <w:r w:rsidR="00AE33BF">
        <w:rPr>
          <w:rFonts w:ascii="Calibri" w:hAnsi="Calibri"/>
          <w:lang w:val="en-US"/>
        </w:rPr>
        <w:t>. Once excess capacity is retired from currently oversupplied power markets,</w:t>
      </w:r>
      <w:r w:rsidR="00A3248F">
        <w:rPr>
          <w:rFonts w:ascii="Calibri" w:hAnsi="Calibri"/>
          <w:lang w:val="en-US"/>
        </w:rPr>
        <w:t xml:space="preserve"> power prices will rise</w:t>
      </w:r>
      <w:r w:rsidR="00AE33BF">
        <w:rPr>
          <w:rFonts w:ascii="Calibri" w:hAnsi="Calibri"/>
          <w:lang w:val="en-US"/>
        </w:rPr>
        <w:t xml:space="preserve">. </w:t>
      </w:r>
      <w:r w:rsidR="00057A5D">
        <w:rPr>
          <w:rFonts w:ascii="Calibri" w:hAnsi="Calibri"/>
          <w:lang w:val="en-US"/>
        </w:rPr>
        <w:t>At the same time, r</w:t>
      </w:r>
      <w:r w:rsidR="00AE33BF">
        <w:rPr>
          <w:rFonts w:ascii="Calibri" w:hAnsi="Calibri"/>
          <w:lang w:val="en-US"/>
        </w:rPr>
        <w:t xml:space="preserve">egulators will </w:t>
      </w:r>
      <w:r w:rsidR="006D2CCC">
        <w:rPr>
          <w:rFonts w:ascii="Calibri" w:hAnsi="Calibri"/>
          <w:lang w:val="en-US"/>
        </w:rPr>
        <w:t xml:space="preserve">rightly </w:t>
      </w:r>
      <w:r w:rsidR="00AE33BF">
        <w:rPr>
          <w:rFonts w:ascii="Calibri" w:hAnsi="Calibri"/>
          <w:lang w:val="en-US"/>
        </w:rPr>
        <w:t>be concerned about ensuring sys</w:t>
      </w:r>
      <w:r w:rsidR="006D2CCC">
        <w:rPr>
          <w:rFonts w:ascii="Calibri" w:hAnsi="Calibri"/>
          <w:lang w:val="en-US"/>
        </w:rPr>
        <w:t>tem adequacy with growing shares of RES in the power mix</w:t>
      </w:r>
      <w:r w:rsidR="00057A5D">
        <w:rPr>
          <w:rFonts w:ascii="Calibri" w:hAnsi="Calibri"/>
          <w:lang w:val="en-US"/>
        </w:rPr>
        <w:t xml:space="preserve"> as the system will need to be supplied and in balance at times of low RES availability. This issue</w:t>
      </w:r>
      <w:r w:rsidR="00AE33BF">
        <w:rPr>
          <w:rFonts w:ascii="Calibri" w:hAnsi="Calibri"/>
          <w:lang w:val="en-US"/>
        </w:rPr>
        <w:t>, however</w:t>
      </w:r>
      <w:r w:rsidR="006D2CCC">
        <w:rPr>
          <w:rFonts w:ascii="Calibri" w:hAnsi="Calibri"/>
          <w:lang w:val="en-US"/>
        </w:rPr>
        <w:t>, need</w:t>
      </w:r>
      <w:r w:rsidR="00057A5D">
        <w:rPr>
          <w:rFonts w:ascii="Calibri" w:hAnsi="Calibri"/>
          <w:lang w:val="en-US"/>
        </w:rPr>
        <w:t>s</w:t>
      </w:r>
      <w:r w:rsidR="00AE33BF">
        <w:rPr>
          <w:rFonts w:ascii="Calibri" w:hAnsi="Calibri"/>
          <w:lang w:val="en-US"/>
        </w:rPr>
        <w:t xml:space="preserve"> to be dealt with th</w:t>
      </w:r>
      <w:r w:rsidR="006D2CCC">
        <w:rPr>
          <w:rFonts w:ascii="Calibri" w:hAnsi="Calibri"/>
          <w:lang w:val="en-US"/>
        </w:rPr>
        <w:t>r</w:t>
      </w:r>
      <w:r w:rsidR="00AE33BF">
        <w:rPr>
          <w:rFonts w:ascii="Calibri" w:hAnsi="Calibri"/>
          <w:lang w:val="en-US"/>
        </w:rPr>
        <w:t xml:space="preserve">ough </w:t>
      </w:r>
      <w:r w:rsidR="006D2CCC">
        <w:rPr>
          <w:rFonts w:ascii="Calibri" w:hAnsi="Calibri"/>
          <w:lang w:val="en-US"/>
        </w:rPr>
        <w:t xml:space="preserve">power </w:t>
      </w:r>
      <w:r w:rsidR="00AE33BF">
        <w:rPr>
          <w:rFonts w:ascii="Calibri" w:hAnsi="Calibri"/>
          <w:lang w:val="en-US"/>
        </w:rPr>
        <w:t>market design reform</w:t>
      </w:r>
      <w:r w:rsidR="006D2CCC">
        <w:rPr>
          <w:rFonts w:ascii="Calibri" w:hAnsi="Calibri"/>
          <w:lang w:val="en-US"/>
        </w:rPr>
        <w:t xml:space="preserve"> and power sector policies. </w:t>
      </w:r>
      <w:r w:rsidR="00DC7698">
        <w:rPr>
          <w:rFonts w:ascii="Calibri" w:hAnsi="Calibri"/>
          <w:lang w:val="en-US"/>
        </w:rPr>
        <w:t xml:space="preserve">EU-wide reforms are </w:t>
      </w:r>
      <w:r w:rsidR="006D2CCC">
        <w:rPr>
          <w:rFonts w:ascii="Calibri" w:hAnsi="Calibri"/>
          <w:lang w:val="en-US"/>
        </w:rPr>
        <w:t xml:space="preserve">indeed </w:t>
      </w:r>
      <w:r w:rsidR="00DC7698">
        <w:rPr>
          <w:rFonts w:ascii="Calibri" w:hAnsi="Calibri"/>
          <w:lang w:val="en-US"/>
        </w:rPr>
        <w:t>underway</w:t>
      </w:r>
      <w:r w:rsidR="005A4B12">
        <w:rPr>
          <w:rFonts w:ascii="Calibri" w:hAnsi="Calibri"/>
          <w:lang w:val="en-US"/>
        </w:rPr>
        <w:t xml:space="preserve"> to ensur</w:t>
      </w:r>
      <w:r w:rsidR="00057A5D">
        <w:rPr>
          <w:rFonts w:ascii="Calibri" w:hAnsi="Calibri"/>
          <w:lang w:val="en-US"/>
        </w:rPr>
        <w:t>e power market design is fit for purpose for an EU power mix with a high share of RES</w:t>
      </w:r>
      <w:r w:rsidR="005A4B12">
        <w:rPr>
          <w:rFonts w:ascii="Calibri" w:hAnsi="Calibri"/>
          <w:lang w:val="en-US"/>
        </w:rPr>
        <w:t xml:space="preserve">. </w:t>
      </w:r>
      <w:r w:rsidR="00DC7698" w:rsidRPr="006C0220">
        <w:rPr>
          <w:rFonts w:ascii="Calibri" w:hAnsi="Calibri"/>
          <w:lang w:val="en-US"/>
        </w:rPr>
        <w:t xml:space="preserve">The Energy Union Communication, </w:t>
      </w:r>
      <w:r w:rsidR="00DC7698">
        <w:rPr>
          <w:rFonts w:ascii="Calibri" w:hAnsi="Calibri"/>
          <w:lang w:val="en-US"/>
        </w:rPr>
        <w:t xml:space="preserve">recently </w:t>
      </w:r>
      <w:r w:rsidR="00DC7698" w:rsidRPr="006C0220">
        <w:rPr>
          <w:rFonts w:ascii="Calibri" w:hAnsi="Calibri"/>
          <w:lang w:val="en-US"/>
        </w:rPr>
        <w:t xml:space="preserve">adopted by Council, reinforces political commitment to completing </w:t>
      </w:r>
      <w:r w:rsidR="00DC7698">
        <w:rPr>
          <w:rFonts w:ascii="Calibri" w:hAnsi="Calibri"/>
          <w:lang w:val="en-US"/>
        </w:rPr>
        <w:t>the internal energy market and to ac</w:t>
      </w:r>
      <w:r w:rsidR="002B6DB1">
        <w:rPr>
          <w:rFonts w:ascii="Calibri" w:hAnsi="Calibri"/>
          <w:lang w:val="en-US"/>
        </w:rPr>
        <w:t xml:space="preserve">celerating this process with introduction of a new legislative proposal </w:t>
      </w:r>
      <w:r w:rsidR="00DC7698">
        <w:rPr>
          <w:rFonts w:ascii="Calibri" w:hAnsi="Calibri"/>
          <w:lang w:val="en-US"/>
        </w:rPr>
        <w:t>on market design, including reserves</w:t>
      </w:r>
      <w:r w:rsidR="00DC7698">
        <w:rPr>
          <w:rStyle w:val="FootnoteReference"/>
          <w:rFonts w:ascii="Calibri" w:hAnsi="Calibri"/>
          <w:lang w:val="en-US"/>
        </w:rPr>
        <w:footnoteReference w:id="13"/>
      </w:r>
      <w:r w:rsidR="00DC7698">
        <w:rPr>
          <w:rFonts w:ascii="Calibri" w:hAnsi="Calibri"/>
          <w:lang w:val="en-US"/>
        </w:rPr>
        <w:t>.</w:t>
      </w:r>
    </w:p>
    <w:p w:rsidR="00BD2B18" w:rsidRDefault="00BD2B18" w:rsidP="00BD2B18">
      <w:pPr>
        <w:pStyle w:val="ListParagraph"/>
        <w:ind w:left="1080"/>
        <w:rPr>
          <w:rFonts w:ascii="Calibri" w:hAnsi="Calibri"/>
          <w:lang w:val="en-US"/>
        </w:rPr>
      </w:pPr>
    </w:p>
    <w:p w:rsidR="005B72BD" w:rsidRPr="002B6DB1" w:rsidRDefault="00593E19" w:rsidP="002B6DB1">
      <w:pPr>
        <w:pStyle w:val="ListParagraph"/>
        <w:numPr>
          <w:ilvl w:val="0"/>
          <w:numId w:val="2"/>
        </w:numPr>
        <w:rPr>
          <w:b/>
        </w:rPr>
      </w:pPr>
      <w:r>
        <w:rPr>
          <w:b/>
        </w:rPr>
        <w:t>Th</w:t>
      </w:r>
      <w:r w:rsidR="00482A88" w:rsidRPr="002B6DB1">
        <w:rPr>
          <w:b/>
        </w:rPr>
        <w:t xml:space="preserve">ere are no compelling technical reasons that </w:t>
      </w:r>
      <w:r w:rsidR="006F4D3E">
        <w:rPr>
          <w:b/>
        </w:rPr>
        <w:t xml:space="preserve">abatement is not possible for </w:t>
      </w:r>
      <w:r w:rsidR="00482A88" w:rsidRPr="002B6DB1">
        <w:rPr>
          <w:b/>
        </w:rPr>
        <w:t>certain hou</w:t>
      </w:r>
      <w:r w:rsidR="006F4D3E">
        <w:rPr>
          <w:b/>
        </w:rPr>
        <w:t>rs of operation</w:t>
      </w:r>
      <w:r w:rsidR="00482A88" w:rsidRPr="002B6DB1">
        <w:rPr>
          <w:b/>
        </w:rPr>
        <w:t xml:space="preserve">. </w:t>
      </w:r>
    </w:p>
    <w:p w:rsidR="00417E9A" w:rsidRDefault="00417E9A" w:rsidP="00417E9A">
      <w:pPr>
        <w:pStyle w:val="ListParagraph"/>
        <w:ind w:left="360"/>
        <w:rPr>
          <w:b/>
        </w:rPr>
      </w:pPr>
    </w:p>
    <w:p w:rsidR="00C82A47" w:rsidRDefault="00C82A47"/>
    <w:sectPr w:rsidR="00C82A47" w:rsidSect="003006A9">
      <w:footerReference w:type="default" r:id="rId10"/>
      <w:pgSz w:w="11906" w:h="16838"/>
      <w:pgMar w:top="1440" w:right="1440" w:bottom="1440" w:left="1440" w:header="708" w:footer="708" w:gutter="0"/>
      <w:cols w:space="708"/>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F3E022F"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F1960" w:rsidRDefault="00EF1960" w:rsidP="00713A51">
      <w:pPr>
        <w:spacing w:after="0" w:line="240" w:lineRule="auto"/>
      </w:pPr>
      <w:r>
        <w:separator/>
      </w:r>
    </w:p>
  </w:endnote>
  <w:endnote w:type="continuationSeparator" w:id="0">
    <w:p w:rsidR="00EF1960" w:rsidRDefault="00EF1960" w:rsidP="00713A5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10022FF" w:usb1="C000E47F" w:usb2="00000029" w:usb3="00000000" w:csb0="000001D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039578675"/>
      <w:docPartObj>
        <w:docPartGallery w:val="Page Numbers (Bottom of Page)"/>
        <w:docPartUnique/>
      </w:docPartObj>
    </w:sdtPr>
    <w:sdtEndPr>
      <w:rPr>
        <w:noProof/>
      </w:rPr>
    </w:sdtEndPr>
    <w:sdtContent>
      <w:p w:rsidR="009467BD" w:rsidRDefault="003006A9">
        <w:pPr>
          <w:pStyle w:val="Footer"/>
          <w:jc w:val="right"/>
        </w:pPr>
        <w:r>
          <w:fldChar w:fldCharType="begin"/>
        </w:r>
        <w:r w:rsidR="009467BD">
          <w:instrText xml:space="preserve"> PAGE   \* MERGEFORMAT </w:instrText>
        </w:r>
        <w:r>
          <w:fldChar w:fldCharType="separate"/>
        </w:r>
        <w:r w:rsidR="00AD3AB6">
          <w:rPr>
            <w:noProof/>
          </w:rPr>
          <w:t>4</w:t>
        </w:r>
        <w:r>
          <w:rPr>
            <w:noProof/>
          </w:rPr>
          <w:fldChar w:fldCharType="end"/>
        </w:r>
      </w:p>
    </w:sdtContent>
  </w:sdt>
  <w:p w:rsidR="009467BD" w:rsidRDefault="009467BD">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F1960" w:rsidRDefault="00EF1960" w:rsidP="00713A51">
      <w:pPr>
        <w:spacing w:after="0" w:line="240" w:lineRule="auto"/>
      </w:pPr>
      <w:r>
        <w:separator/>
      </w:r>
    </w:p>
  </w:footnote>
  <w:footnote w:type="continuationSeparator" w:id="0">
    <w:p w:rsidR="00EF1960" w:rsidRDefault="00EF1960" w:rsidP="00713A51">
      <w:pPr>
        <w:spacing w:after="0" w:line="240" w:lineRule="auto"/>
      </w:pPr>
      <w:r>
        <w:continuationSeparator/>
      </w:r>
    </w:p>
  </w:footnote>
  <w:footnote w:id="1">
    <w:p w:rsidR="009467BD" w:rsidRDefault="009467BD">
      <w:pPr>
        <w:pStyle w:val="FootnoteText"/>
      </w:pPr>
      <w:r>
        <w:rPr>
          <w:rStyle w:val="FootnoteReference"/>
        </w:rPr>
        <w:footnoteRef/>
      </w:r>
      <w:r>
        <w:t xml:space="preserve"> </w:t>
      </w:r>
      <w:r>
        <w:rPr>
          <w:rFonts w:ascii="Calibri" w:hAnsi="Calibri"/>
          <w:lang w:val="en-US"/>
        </w:rPr>
        <w:t xml:space="preserve">See </w:t>
      </w:r>
      <w:hyperlink r:id="rId1" w:history="1">
        <w:r w:rsidRPr="0087352B">
          <w:rPr>
            <w:rStyle w:val="Hyperlink"/>
            <w:rFonts w:ascii="Calibri" w:hAnsi="Calibri"/>
            <w:lang w:val="en-US"/>
          </w:rPr>
          <w:t>http://www.iso-ne.com/static-assets/documents/committees/comm_wkgrps/prtcpnts_comm/eag/mtrls/2013/apr122013/epa_rteg_meeting_3_18_2013.pdf</w:t>
        </w:r>
      </w:hyperlink>
    </w:p>
  </w:footnote>
  <w:footnote w:id="2">
    <w:p w:rsidR="009467BD" w:rsidRPr="000B0EAC" w:rsidRDefault="009467BD" w:rsidP="000B0EAC">
      <w:pPr>
        <w:pStyle w:val="FootnoteText"/>
        <w:rPr>
          <w:lang w:val="en-US"/>
        </w:rPr>
      </w:pPr>
      <w:r>
        <w:rPr>
          <w:rStyle w:val="FootnoteReference"/>
        </w:rPr>
        <w:footnoteRef/>
      </w:r>
      <w:r>
        <w:rPr>
          <w:lang w:val="en-US"/>
        </w:rPr>
        <w:t>The Independent System Operator for New England (ISO-NE) has defined stage</w:t>
      </w:r>
      <w:r w:rsidR="00FD4782">
        <w:rPr>
          <w:lang w:val="en-US"/>
        </w:rPr>
        <w:t xml:space="preserve">s of what actions will trigger </w:t>
      </w:r>
      <w:r>
        <w:rPr>
          <w:lang w:val="en-US"/>
        </w:rPr>
        <w:t xml:space="preserve">a voltage reduction or requirements to call upon emergency generators to commence operation. </w:t>
      </w:r>
      <w:hyperlink r:id="rId2" w:history="1">
        <w:r w:rsidRPr="00D24E9C">
          <w:rPr>
            <w:rStyle w:val="Hyperlink"/>
            <w:lang w:val="en-US"/>
          </w:rPr>
          <w:t>http://www.iso-ne.com/static-assets/documents/rules_proceds/operating/isone/op4/op4_rto_final.pdf</w:t>
        </w:r>
      </w:hyperlink>
      <w:r>
        <w:rPr>
          <w:lang w:val="en-US"/>
        </w:rPr>
        <w:t xml:space="preserve"> </w:t>
      </w:r>
    </w:p>
    <w:p w:rsidR="009467BD" w:rsidRDefault="009467BD">
      <w:pPr>
        <w:pStyle w:val="FootnoteText"/>
      </w:pPr>
      <w:r>
        <w:t xml:space="preserve"> </w:t>
      </w:r>
    </w:p>
  </w:footnote>
  <w:footnote w:id="3">
    <w:p w:rsidR="009467BD" w:rsidRPr="00FB0A04" w:rsidRDefault="009467BD">
      <w:pPr>
        <w:pStyle w:val="FootnoteText"/>
        <w:rPr>
          <w:lang w:val="en-US"/>
        </w:rPr>
      </w:pPr>
      <w:r>
        <w:rPr>
          <w:rStyle w:val="FootnoteReference"/>
        </w:rPr>
        <w:footnoteRef/>
      </w:r>
      <w:r>
        <w:t xml:space="preserve"> </w:t>
      </w:r>
      <w:r>
        <w:rPr>
          <w:lang w:val="en-US"/>
        </w:rPr>
        <w:t xml:space="preserve">United States Court of Appeals, District of Columbia Circuit (this is the central court for hearing of federal issues in the United States). Link to decision: </w:t>
      </w:r>
      <w:hyperlink r:id="rId3" w:history="1">
        <w:r w:rsidRPr="00D24E9C">
          <w:rPr>
            <w:rStyle w:val="Hyperlink"/>
            <w:lang w:val="en-US"/>
          </w:rPr>
          <w:t>http://www.rtoinsider.com/wp-content/uploads/DC-Circuit-ruling-on-backup-gens-DR-5-1-15.pdf</w:t>
        </w:r>
      </w:hyperlink>
      <w:r>
        <w:rPr>
          <w:lang w:val="en-US"/>
        </w:rPr>
        <w:t xml:space="preserve"> </w:t>
      </w:r>
    </w:p>
  </w:footnote>
  <w:footnote w:id="4">
    <w:p w:rsidR="009467BD" w:rsidRPr="00FD4782" w:rsidRDefault="009467BD">
      <w:pPr>
        <w:pStyle w:val="FootnoteText"/>
        <w:rPr>
          <w:lang w:val="en-US"/>
        </w:rPr>
      </w:pPr>
      <w:r>
        <w:rPr>
          <w:rStyle w:val="FootnoteReference"/>
        </w:rPr>
        <w:footnoteRef/>
      </w:r>
      <w:r>
        <w:t xml:space="preserve"> </w:t>
      </w:r>
      <w:r>
        <w:rPr>
          <w:lang w:val="en-US"/>
        </w:rPr>
        <w:t xml:space="preserve">U.S. EPA New Source Performance Standards for fossil-fuel fired steam generators, subparts D, Da, Db and Dc. Complete list of all NSPS requirements found at: </w:t>
      </w:r>
      <w:hyperlink r:id="rId4" w:history="1">
        <w:r w:rsidRPr="00D24E9C">
          <w:rPr>
            <w:rStyle w:val="Hyperlink"/>
            <w:lang w:val="en-US"/>
          </w:rPr>
          <w:t>http://www.ecfr.gov/cgi-bin/text-idx?tpl=/ecfrbrowse/Title40/40cfr60_main_02.tpl</w:t>
        </w:r>
      </w:hyperlink>
      <w:r>
        <w:rPr>
          <w:lang w:val="en-US"/>
        </w:rPr>
        <w:t xml:space="preserve"> </w:t>
      </w:r>
    </w:p>
  </w:footnote>
  <w:footnote w:id="5">
    <w:p w:rsidR="009467BD" w:rsidRPr="00FD4782" w:rsidRDefault="009467BD">
      <w:pPr>
        <w:pStyle w:val="FootnoteText"/>
        <w:rPr>
          <w:lang w:val="en-US"/>
        </w:rPr>
      </w:pPr>
      <w:r>
        <w:rPr>
          <w:rStyle w:val="FootnoteReference"/>
        </w:rPr>
        <w:footnoteRef/>
      </w:r>
      <w:r>
        <w:t xml:space="preserve"> </w:t>
      </w:r>
      <w:r>
        <w:rPr>
          <w:lang w:val="en-US"/>
        </w:rPr>
        <w:t xml:space="preserve">The number of hours permitted for </w:t>
      </w:r>
      <w:proofErr w:type="gramStart"/>
      <w:r>
        <w:rPr>
          <w:lang w:val="en-US"/>
        </w:rPr>
        <w:t>a</w:t>
      </w:r>
      <w:proofErr w:type="gramEnd"/>
      <w:r>
        <w:rPr>
          <w:lang w:val="en-US"/>
        </w:rPr>
        <w:t xml:space="preserve"> “emergency engine” to operate includes those used for periodic testing, typically one-half hour every fortnight, or about 25 hours a year.</w:t>
      </w:r>
    </w:p>
  </w:footnote>
  <w:footnote w:id="6">
    <w:p w:rsidR="009467BD" w:rsidRPr="00FD4782" w:rsidRDefault="009467BD">
      <w:pPr>
        <w:pStyle w:val="FootnoteText"/>
        <w:rPr>
          <w:lang w:val="en-US"/>
        </w:rPr>
      </w:pPr>
      <w:r>
        <w:rPr>
          <w:rStyle w:val="FootnoteReference"/>
        </w:rPr>
        <w:footnoteRef/>
      </w:r>
      <w:r>
        <w:t xml:space="preserve"> </w:t>
      </w:r>
      <w:r>
        <w:rPr>
          <w:lang w:val="en-US"/>
        </w:rPr>
        <w:t xml:space="preserve">As a practical matter, the emission limits for such “minor sources” is equivalent or more stringent than those of “best technologies”. Restricting emissions avoids the need to pay annual fees for each ton of emissions and avoids certain record keeping and reporting requirements. </w:t>
      </w:r>
    </w:p>
  </w:footnote>
  <w:footnote w:id="7">
    <w:p w:rsidR="009467BD" w:rsidRDefault="009467BD">
      <w:pPr>
        <w:pStyle w:val="FootnoteText"/>
      </w:pPr>
      <w:r>
        <w:rPr>
          <w:rStyle w:val="FootnoteReference"/>
        </w:rPr>
        <w:footnoteRef/>
      </w:r>
      <w:r>
        <w:t xml:space="preserve"> </w:t>
      </w:r>
      <w:proofErr w:type="spellStart"/>
      <w:r>
        <w:t>Weblinks</w:t>
      </w:r>
      <w:proofErr w:type="spellEnd"/>
      <w:r>
        <w:t xml:space="preserve"> for the three studies or to Chris’s </w:t>
      </w:r>
      <w:proofErr w:type="spellStart"/>
      <w:r>
        <w:t>powerpoint</w:t>
      </w:r>
      <w:proofErr w:type="spellEnd"/>
    </w:p>
  </w:footnote>
  <w:footnote w:id="8">
    <w:p w:rsidR="009467BD" w:rsidRDefault="009467BD" w:rsidP="00DC7698">
      <w:pPr>
        <w:pStyle w:val="FootnoteText"/>
      </w:pPr>
      <w:r>
        <w:rPr>
          <w:rStyle w:val="FootnoteReference"/>
        </w:rPr>
        <w:footnoteRef/>
      </w:r>
      <w:r>
        <w:t xml:space="preserve"> See European Commission website: </w:t>
      </w:r>
      <w:hyperlink r:id="rId5" w:history="1">
        <w:r w:rsidRPr="00705A11">
          <w:rPr>
            <w:rStyle w:val="Hyperlink"/>
          </w:rPr>
          <w:t>https://ec.europa.eu/energy/en/topics/markets-and-consumers/market-legislation</w:t>
        </w:r>
      </w:hyperlink>
      <w:r>
        <w:t xml:space="preserve"> </w:t>
      </w:r>
    </w:p>
  </w:footnote>
  <w:footnote w:id="9">
    <w:p w:rsidR="009467BD" w:rsidRDefault="009467BD" w:rsidP="00DC7698">
      <w:pPr>
        <w:pStyle w:val="FootnoteText"/>
      </w:pPr>
      <w:r>
        <w:rPr>
          <w:rStyle w:val="FootnoteReference"/>
        </w:rPr>
        <w:footnoteRef/>
      </w:r>
      <w:r>
        <w:t xml:space="preserve"> See ENTSO-E website: </w:t>
      </w:r>
      <w:r w:rsidRPr="0095091C">
        <w:t>http://networkcodes.entsoe.eu/</w:t>
      </w:r>
    </w:p>
  </w:footnote>
  <w:footnote w:id="10">
    <w:p w:rsidR="009467BD" w:rsidRDefault="009467BD">
      <w:pPr>
        <w:pStyle w:val="FootnoteText"/>
      </w:pPr>
      <w:r>
        <w:rPr>
          <w:rStyle w:val="FootnoteReference"/>
        </w:rPr>
        <w:footnoteRef/>
      </w:r>
      <w:r>
        <w:t xml:space="preserve"> </w:t>
      </w:r>
      <w:r w:rsidRPr="00DD6E01">
        <w:rPr>
          <w:rFonts w:ascii="Calibri" w:hAnsi="Calibri"/>
          <w:lang w:val="en-US"/>
        </w:rPr>
        <w:t xml:space="preserve">Indeed the EU ETS is to be reformed, but as a quantity based instrument and with political reluctance to set an ambitious cap that will result in higher prices, </w:t>
      </w:r>
      <w:r>
        <w:rPr>
          <w:rFonts w:ascii="Calibri" w:hAnsi="Calibri"/>
          <w:lang w:val="en-US"/>
        </w:rPr>
        <w:t xml:space="preserve">not forgetting the volatility of wholesale coal and gas prices, </w:t>
      </w:r>
      <w:r w:rsidRPr="00DD6E01">
        <w:rPr>
          <w:rFonts w:ascii="Calibri" w:hAnsi="Calibri"/>
          <w:lang w:val="en-US"/>
        </w:rPr>
        <w:t>it will likely never be able to guarantee a merit order correlated to CO</w:t>
      </w:r>
      <w:r w:rsidRPr="002756CD">
        <w:rPr>
          <w:rFonts w:ascii="Calibri" w:hAnsi="Calibri"/>
          <w:vertAlign w:val="subscript"/>
          <w:lang w:val="en-US"/>
        </w:rPr>
        <w:t>2</w:t>
      </w:r>
      <w:r w:rsidRPr="00DD6E01">
        <w:rPr>
          <w:rFonts w:ascii="Calibri" w:hAnsi="Calibri"/>
          <w:lang w:val="en-US"/>
        </w:rPr>
        <w:t xml:space="preserve"> performance.</w:t>
      </w:r>
    </w:p>
  </w:footnote>
  <w:footnote w:id="11">
    <w:p w:rsidR="009467BD" w:rsidRDefault="009467BD">
      <w:pPr>
        <w:pStyle w:val="FootnoteText"/>
      </w:pPr>
      <w:r>
        <w:rPr>
          <w:rStyle w:val="FootnoteReference"/>
        </w:rPr>
        <w:footnoteRef/>
      </w:r>
      <w:r>
        <w:t xml:space="preserve"> See: </w:t>
      </w:r>
      <w:hyperlink r:id="rId6" w:history="1">
        <w:r w:rsidRPr="00705A11">
          <w:rPr>
            <w:rStyle w:val="Hyperlink"/>
          </w:rPr>
          <w:t>http://www.eurelectric.org/news/2013/eurelectric-welcomes-ec%E2%80%99s-pro-market-stance-on-public-intervention/</w:t>
        </w:r>
      </w:hyperlink>
      <w:r>
        <w:t xml:space="preserve"> </w:t>
      </w:r>
    </w:p>
  </w:footnote>
  <w:footnote w:id="12">
    <w:p w:rsidR="009467BD" w:rsidRDefault="009467BD">
      <w:pPr>
        <w:pStyle w:val="FootnoteText"/>
      </w:pPr>
      <w:r>
        <w:rPr>
          <w:rStyle w:val="FootnoteReference"/>
        </w:rPr>
        <w:footnoteRef/>
      </w:r>
      <w:r>
        <w:t xml:space="preserve"> See </w:t>
      </w:r>
      <w:hyperlink r:id="rId7" w:history="1">
        <w:r w:rsidRPr="00705A11">
          <w:rPr>
            <w:rStyle w:val="Hyperlink"/>
          </w:rPr>
          <w:t>http://ec.europa.eu/clima/policies/2030/index_en.htm</w:t>
        </w:r>
      </w:hyperlink>
      <w:r>
        <w:t xml:space="preserve"> for summary of policies and legislation.</w:t>
      </w:r>
    </w:p>
  </w:footnote>
  <w:footnote w:id="13">
    <w:p w:rsidR="009467BD" w:rsidRDefault="009467BD">
      <w:pPr>
        <w:pStyle w:val="FootnoteText"/>
      </w:pPr>
      <w:r>
        <w:rPr>
          <w:rStyle w:val="FootnoteReference"/>
        </w:rPr>
        <w:footnoteRef/>
      </w:r>
      <w:r>
        <w:t xml:space="preserve"> European Commission, “Energy Union Package”, </w:t>
      </w:r>
      <w:proofErr w:type="gramStart"/>
      <w:r>
        <w:t>COM(</w:t>
      </w:r>
      <w:proofErr w:type="gramEnd"/>
      <w:r>
        <w:t>2015)80 final, 25.02.2015, Brussels.</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5F5630"/>
    <w:multiLevelType w:val="hybridMultilevel"/>
    <w:tmpl w:val="0BA88234"/>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
    <w:nsid w:val="2F076BD6"/>
    <w:multiLevelType w:val="hybridMultilevel"/>
    <w:tmpl w:val="FD92870C"/>
    <w:lvl w:ilvl="0" w:tplc="69F0983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44CF6D25"/>
    <w:multiLevelType w:val="hybridMultilevel"/>
    <w:tmpl w:val="B3E00890"/>
    <w:lvl w:ilvl="0" w:tplc="B83C4B3C">
      <w:numFmt w:val="bullet"/>
      <w:lvlText w:val="-"/>
      <w:lvlJc w:val="left"/>
      <w:pPr>
        <w:ind w:left="720" w:hanging="360"/>
      </w:pPr>
      <w:rPr>
        <w:rFonts w:ascii="Calibri" w:eastAsiaTheme="minorHAnsi"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45662F8D"/>
    <w:multiLevelType w:val="hybridMultilevel"/>
    <w:tmpl w:val="0CD49A38"/>
    <w:lvl w:ilvl="0" w:tplc="C3308844">
      <w:start w:val="10"/>
      <w:numFmt w:val="bullet"/>
      <w:lvlText w:val="-"/>
      <w:lvlJc w:val="left"/>
      <w:pPr>
        <w:ind w:left="1080" w:hanging="360"/>
      </w:pPr>
      <w:rPr>
        <w:rFonts w:ascii="Calibri" w:eastAsiaTheme="minorHAnsi" w:hAnsi="Calibri" w:cstheme="minorBid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nsid w:val="50465ED1"/>
    <w:multiLevelType w:val="hybridMultilevel"/>
    <w:tmpl w:val="1FFC83C8"/>
    <w:lvl w:ilvl="0" w:tplc="E4AE7EF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5BC26023"/>
    <w:multiLevelType w:val="hybridMultilevel"/>
    <w:tmpl w:val="74683A64"/>
    <w:lvl w:ilvl="0" w:tplc="A190981E">
      <w:start w:val="1"/>
      <w:numFmt w:val="lowerLetter"/>
      <w:lvlText w:val="%1."/>
      <w:lvlJc w:val="left"/>
      <w:pPr>
        <w:ind w:left="1080" w:hanging="360"/>
      </w:pPr>
      <w:rPr>
        <w:rFonts w:hint="default"/>
      </w:rPr>
    </w:lvl>
    <w:lvl w:ilvl="1" w:tplc="0809001B">
      <w:start w:val="1"/>
      <w:numFmt w:val="lowerRoman"/>
      <w:lvlText w:val="%2."/>
      <w:lvlJc w:val="righ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nsid w:val="78F77BD8"/>
    <w:multiLevelType w:val="hybridMultilevel"/>
    <w:tmpl w:val="AD2E44D4"/>
    <w:lvl w:ilvl="0" w:tplc="D676F41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nsid w:val="7C5D4056"/>
    <w:multiLevelType w:val="hybridMultilevel"/>
    <w:tmpl w:val="D6D8B136"/>
    <w:lvl w:ilvl="0" w:tplc="08090019">
      <w:start w:val="1"/>
      <w:numFmt w:val="lowerLetter"/>
      <w:lvlText w:val="%1."/>
      <w:lvlJc w:val="left"/>
      <w:pPr>
        <w:ind w:left="1080" w:hanging="360"/>
      </w:pPr>
      <w:rPr>
        <w:rFont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abstractNumId w:val="3"/>
  </w:num>
  <w:num w:numId="2">
    <w:abstractNumId w:val="0"/>
  </w:num>
  <w:num w:numId="3">
    <w:abstractNumId w:val="4"/>
  </w:num>
  <w:num w:numId="4">
    <w:abstractNumId w:val="7"/>
  </w:num>
  <w:num w:numId="5">
    <w:abstractNumId w:val="5"/>
  </w:num>
  <w:num w:numId="6">
    <w:abstractNumId w:val="6"/>
  </w:num>
  <w:num w:numId="7">
    <w:abstractNumId w:val="1"/>
  </w:num>
  <w:num w:numId="8">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rah keay-bright">
    <w15:presenceInfo w15:providerId="Windows Live" w15:userId="4b70e1b9b81347dc"/>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hyphenationZone w:val="425"/>
  <w:characterSpacingControl w:val="doNotCompress"/>
  <w:footnotePr>
    <w:footnote w:id="-1"/>
    <w:footnote w:id="0"/>
  </w:footnotePr>
  <w:endnotePr>
    <w:endnote w:id="-1"/>
    <w:endnote w:id="0"/>
  </w:endnotePr>
  <w:compat/>
  <w:rsids>
    <w:rsidRoot w:val="00C82A47"/>
    <w:rsid w:val="00036317"/>
    <w:rsid w:val="00056894"/>
    <w:rsid w:val="00057A5D"/>
    <w:rsid w:val="000742A7"/>
    <w:rsid w:val="000B0EAC"/>
    <w:rsid w:val="000D6F51"/>
    <w:rsid w:val="00170F36"/>
    <w:rsid w:val="00175A91"/>
    <w:rsid w:val="001862D3"/>
    <w:rsid w:val="001E0F80"/>
    <w:rsid w:val="00265F2F"/>
    <w:rsid w:val="002719C2"/>
    <w:rsid w:val="0027270E"/>
    <w:rsid w:val="002756CD"/>
    <w:rsid w:val="00284EC8"/>
    <w:rsid w:val="002B3927"/>
    <w:rsid w:val="002B6DB1"/>
    <w:rsid w:val="003006A9"/>
    <w:rsid w:val="00383F97"/>
    <w:rsid w:val="00394279"/>
    <w:rsid w:val="00397C63"/>
    <w:rsid w:val="004161A0"/>
    <w:rsid w:val="00417E9A"/>
    <w:rsid w:val="00420A7C"/>
    <w:rsid w:val="00482A88"/>
    <w:rsid w:val="004B1B49"/>
    <w:rsid w:val="00585A9C"/>
    <w:rsid w:val="00593E19"/>
    <w:rsid w:val="005A4B12"/>
    <w:rsid w:val="005B72BD"/>
    <w:rsid w:val="005C767B"/>
    <w:rsid w:val="00617973"/>
    <w:rsid w:val="006B1B35"/>
    <w:rsid w:val="006C3534"/>
    <w:rsid w:val="006D2CCC"/>
    <w:rsid w:val="006F4D3E"/>
    <w:rsid w:val="00713A51"/>
    <w:rsid w:val="0072076E"/>
    <w:rsid w:val="007A65C9"/>
    <w:rsid w:val="00833015"/>
    <w:rsid w:val="00835F8F"/>
    <w:rsid w:val="008411B1"/>
    <w:rsid w:val="00843A36"/>
    <w:rsid w:val="008C22D4"/>
    <w:rsid w:val="008F431A"/>
    <w:rsid w:val="009467BD"/>
    <w:rsid w:val="0095091C"/>
    <w:rsid w:val="009627BA"/>
    <w:rsid w:val="00987498"/>
    <w:rsid w:val="009D5F7B"/>
    <w:rsid w:val="00A3248F"/>
    <w:rsid w:val="00A45F4D"/>
    <w:rsid w:val="00A67DD9"/>
    <w:rsid w:val="00A85809"/>
    <w:rsid w:val="00AA08B5"/>
    <w:rsid w:val="00AD3AB6"/>
    <w:rsid w:val="00AD61FA"/>
    <w:rsid w:val="00AE33BF"/>
    <w:rsid w:val="00AF5FD0"/>
    <w:rsid w:val="00B018C1"/>
    <w:rsid w:val="00B35827"/>
    <w:rsid w:val="00B86B5C"/>
    <w:rsid w:val="00BD2B18"/>
    <w:rsid w:val="00BE67D9"/>
    <w:rsid w:val="00C02A99"/>
    <w:rsid w:val="00C82A47"/>
    <w:rsid w:val="00C94D36"/>
    <w:rsid w:val="00C95F6B"/>
    <w:rsid w:val="00CD34B1"/>
    <w:rsid w:val="00D47134"/>
    <w:rsid w:val="00D52DD7"/>
    <w:rsid w:val="00DC7698"/>
    <w:rsid w:val="00DD6E01"/>
    <w:rsid w:val="00E001AE"/>
    <w:rsid w:val="00EA7B26"/>
    <w:rsid w:val="00EE75BA"/>
    <w:rsid w:val="00EF1960"/>
    <w:rsid w:val="00F27995"/>
    <w:rsid w:val="00F422ED"/>
    <w:rsid w:val="00FB0A04"/>
    <w:rsid w:val="00FD4782"/>
    <w:rsid w:val="00FF7594"/>
  </w:rsids>
  <m:mathPr>
    <m:mathFont m:val="Cambria Math"/>
    <m:brkBin m:val="before"/>
    <m:brkBinSub m:val="--"/>
    <m:smallFrac m:val="off"/>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006A9"/>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87498"/>
    <w:pPr>
      <w:ind w:left="720"/>
      <w:contextualSpacing/>
    </w:pPr>
  </w:style>
  <w:style w:type="character" w:styleId="CommentReference">
    <w:name w:val="annotation reference"/>
    <w:basedOn w:val="DefaultParagraphFont"/>
    <w:uiPriority w:val="99"/>
    <w:semiHidden/>
    <w:unhideWhenUsed/>
    <w:rsid w:val="00265F2F"/>
    <w:rPr>
      <w:sz w:val="16"/>
      <w:szCs w:val="16"/>
    </w:rPr>
  </w:style>
  <w:style w:type="paragraph" w:styleId="CommentText">
    <w:name w:val="annotation text"/>
    <w:basedOn w:val="Normal"/>
    <w:link w:val="CommentTextChar"/>
    <w:uiPriority w:val="99"/>
    <w:semiHidden/>
    <w:unhideWhenUsed/>
    <w:rsid w:val="00265F2F"/>
    <w:pPr>
      <w:spacing w:line="240" w:lineRule="auto"/>
    </w:pPr>
    <w:rPr>
      <w:sz w:val="20"/>
      <w:szCs w:val="20"/>
    </w:rPr>
  </w:style>
  <w:style w:type="character" w:customStyle="1" w:styleId="CommentTextChar">
    <w:name w:val="Comment Text Char"/>
    <w:basedOn w:val="DefaultParagraphFont"/>
    <w:link w:val="CommentText"/>
    <w:uiPriority w:val="99"/>
    <w:semiHidden/>
    <w:rsid w:val="00265F2F"/>
    <w:rPr>
      <w:sz w:val="20"/>
      <w:szCs w:val="20"/>
    </w:rPr>
  </w:style>
  <w:style w:type="paragraph" w:styleId="CommentSubject">
    <w:name w:val="annotation subject"/>
    <w:basedOn w:val="CommentText"/>
    <w:next w:val="CommentText"/>
    <w:link w:val="CommentSubjectChar"/>
    <w:uiPriority w:val="99"/>
    <w:semiHidden/>
    <w:unhideWhenUsed/>
    <w:rsid w:val="00265F2F"/>
    <w:rPr>
      <w:b/>
      <w:bCs/>
    </w:rPr>
  </w:style>
  <w:style w:type="character" w:customStyle="1" w:styleId="CommentSubjectChar">
    <w:name w:val="Comment Subject Char"/>
    <w:basedOn w:val="CommentTextChar"/>
    <w:link w:val="CommentSubject"/>
    <w:uiPriority w:val="99"/>
    <w:semiHidden/>
    <w:rsid w:val="00265F2F"/>
    <w:rPr>
      <w:b/>
      <w:bCs/>
      <w:sz w:val="20"/>
      <w:szCs w:val="20"/>
    </w:rPr>
  </w:style>
  <w:style w:type="paragraph" w:styleId="BalloonText">
    <w:name w:val="Balloon Text"/>
    <w:basedOn w:val="Normal"/>
    <w:link w:val="BalloonTextChar"/>
    <w:uiPriority w:val="99"/>
    <w:semiHidden/>
    <w:unhideWhenUsed/>
    <w:rsid w:val="00265F2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65F2F"/>
    <w:rPr>
      <w:rFonts w:ascii="Segoe UI" w:hAnsi="Segoe UI" w:cs="Segoe UI"/>
      <w:sz w:val="18"/>
      <w:szCs w:val="18"/>
    </w:rPr>
  </w:style>
  <w:style w:type="character" w:styleId="Hyperlink">
    <w:name w:val="Hyperlink"/>
    <w:basedOn w:val="DefaultParagraphFont"/>
    <w:uiPriority w:val="99"/>
    <w:unhideWhenUsed/>
    <w:rsid w:val="00284EC8"/>
    <w:rPr>
      <w:color w:val="0000FF"/>
      <w:u w:val="single"/>
    </w:rPr>
  </w:style>
  <w:style w:type="paragraph" w:styleId="FootnoteText">
    <w:name w:val="footnote text"/>
    <w:basedOn w:val="Normal"/>
    <w:link w:val="FootnoteTextChar"/>
    <w:uiPriority w:val="99"/>
    <w:unhideWhenUsed/>
    <w:rsid w:val="00713A51"/>
    <w:pPr>
      <w:spacing w:after="0" w:line="240" w:lineRule="auto"/>
    </w:pPr>
    <w:rPr>
      <w:sz w:val="20"/>
      <w:szCs w:val="20"/>
    </w:rPr>
  </w:style>
  <w:style w:type="character" w:customStyle="1" w:styleId="FootnoteTextChar">
    <w:name w:val="Footnote Text Char"/>
    <w:basedOn w:val="DefaultParagraphFont"/>
    <w:link w:val="FootnoteText"/>
    <w:uiPriority w:val="99"/>
    <w:rsid w:val="00713A51"/>
    <w:rPr>
      <w:sz w:val="20"/>
      <w:szCs w:val="20"/>
    </w:rPr>
  </w:style>
  <w:style w:type="character" w:styleId="FootnoteReference">
    <w:name w:val="footnote reference"/>
    <w:basedOn w:val="DefaultParagraphFont"/>
    <w:uiPriority w:val="99"/>
    <w:unhideWhenUsed/>
    <w:rsid w:val="00713A51"/>
    <w:rPr>
      <w:vertAlign w:val="superscript"/>
    </w:rPr>
  </w:style>
  <w:style w:type="paragraph" w:styleId="Header">
    <w:name w:val="header"/>
    <w:basedOn w:val="Normal"/>
    <w:link w:val="HeaderChar"/>
    <w:uiPriority w:val="99"/>
    <w:unhideWhenUsed/>
    <w:rsid w:val="00617973"/>
    <w:pPr>
      <w:tabs>
        <w:tab w:val="center" w:pos="4513"/>
        <w:tab w:val="right" w:pos="9026"/>
      </w:tabs>
      <w:spacing w:after="0" w:line="240" w:lineRule="auto"/>
    </w:pPr>
  </w:style>
  <w:style w:type="character" w:customStyle="1" w:styleId="HeaderChar">
    <w:name w:val="Header Char"/>
    <w:basedOn w:val="DefaultParagraphFont"/>
    <w:link w:val="Header"/>
    <w:uiPriority w:val="99"/>
    <w:rsid w:val="00617973"/>
  </w:style>
  <w:style w:type="paragraph" w:styleId="Footer">
    <w:name w:val="footer"/>
    <w:basedOn w:val="Normal"/>
    <w:link w:val="FooterChar"/>
    <w:uiPriority w:val="99"/>
    <w:unhideWhenUsed/>
    <w:rsid w:val="00617973"/>
    <w:pPr>
      <w:tabs>
        <w:tab w:val="center" w:pos="4513"/>
        <w:tab w:val="right" w:pos="9026"/>
      </w:tabs>
      <w:spacing w:after="0" w:line="240" w:lineRule="auto"/>
    </w:pPr>
  </w:style>
  <w:style w:type="character" w:customStyle="1" w:styleId="FooterChar">
    <w:name w:val="Footer Char"/>
    <w:basedOn w:val="DefaultParagraphFont"/>
    <w:link w:val="Footer"/>
    <w:uiPriority w:val="99"/>
    <w:rsid w:val="00617973"/>
  </w:style>
  <w:style w:type="character" w:styleId="FollowedHyperlink">
    <w:name w:val="FollowedHyperlink"/>
    <w:basedOn w:val="DefaultParagraphFont"/>
    <w:uiPriority w:val="99"/>
    <w:semiHidden/>
    <w:unhideWhenUsed/>
    <w:rsid w:val="008F431A"/>
    <w:rPr>
      <w:color w:val="954F72" w:themeColor="followedHyperlink"/>
      <w:u w:val="single"/>
    </w:rPr>
  </w:style>
  <w:style w:type="paragraph" w:styleId="PlainText">
    <w:name w:val="Plain Text"/>
    <w:basedOn w:val="Normal"/>
    <w:link w:val="PlainTextChar"/>
    <w:uiPriority w:val="99"/>
    <w:unhideWhenUsed/>
    <w:rsid w:val="00FD4782"/>
    <w:pPr>
      <w:spacing w:after="0" w:line="240" w:lineRule="auto"/>
    </w:pPr>
    <w:rPr>
      <w:rFonts w:ascii="Calibri" w:hAnsi="Calibri"/>
      <w:szCs w:val="21"/>
    </w:rPr>
  </w:style>
  <w:style w:type="character" w:customStyle="1" w:styleId="PlainTextChar">
    <w:name w:val="Plain Text Char"/>
    <w:basedOn w:val="DefaultParagraphFont"/>
    <w:link w:val="PlainText"/>
    <w:uiPriority w:val="99"/>
    <w:rsid w:val="00FD4782"/>
    <w:rPr>
      <w:rFonts w:ascii="Calibri" w:hAnsi="Calibri"/>
      <w:szCs w:val="21"/>
    </w:rPr>
  </w:style>
</w:styles>
</file>

<file path=word/webSettings.xml><?xml version="1.0" encoding="utf-8"?>
<w:webSettings xmlns:r="http://schemas.openxmlformats.org/officeDocument/2006/relationships" xmlns:w="http://schemas.openxmlformats.org/wordprocessingml/2006/main">
  <w:divs>
    <w:div w:id="726296617">
      <w:bodyDiv w:val="1"/>
      <w:marLeft w:val="0"/>
      <w:marRight w:val="0"/>
      <w:marTop w:val="0"/>
      <w:marBottom w:val="0"/>
      <w:divBdr>
        <w:top w:val="none" w:sz="0" w:space="0" w:color="auto"/>
        <w:left w:val="none" w:sz="0" w:space="0" w:color="auto"/>
        <w:bottom w:val="none" w:sz="0" w:space="0" w:color="auto"/>
        <w:right w:val="none" w:sz="0" w:space="0" w:color="auto"/>
      </w:divBdr>
    </w:div>
    <w:div w:id="1049452198">
      <w:bodyDiv w:val="1"/>
      <w:marLeft w:val="0"/>
      <w:marRight w:val="0"/>
      <w:marTop w:val="0"/>
      <w:marBottom w:val="0"/>
      <w:divBdr>
        <w:top w:val="none" w:sz="0" w:space="0" w:color="auto"/>
        <w:left w:val="none" w:sz="0" w:space="0" w:color="auto"/>
        <w:bottom w:val="none" w:sz="0" w:space="0" w:color="auto"/>
        <w:right w:val="none" w:sz="0" w:space="0" w:color="auto"/>
      </w:divBdr>
    </w:div>
    <w:div w:id="2039546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commentsExtended" Target="commentsExtended.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microsoft.com/office/2011/relationships/people" Target="people.xml"/></Relationships>
</file>

<file path=word/_rels/footnotes.xml.rels><?xml version="1.0" encoding="UTF-8" standalone="yes"?>
<Relationships xmlns="http://schemas.openxmlformats.org/package/2006/relationships"><Relationship Id="rId3" Type="http://schemas.openxmlformats.org/officeDocument/2006/relationships/hyperlink" Target="http://www.rtoinsider.com/wp-content/uploads/DC-Circuit-ruling-on-backup-gens-DR-5-1-15.pdf" TargetMode="External"/><Relationship Id="rId7" Type="http://schemas.openxmlformats.org/officeDocument/2006/relationships/hyperlink" Target="http://ec.europa.eu/clima/policies/2030/index_en.htm" TargetMode="External"/><Relationship Id="rId2" Type="http://schemas.openxmlformats.org/officeDocument/2006/relationships/hyperlink" Target="http://www.iso-ne.com/static-assets/documents/rules_proceds/operating/isone/op4/op4_rto_final.pdf" TargetMode="External"/><Relationship Id="rId1" Type="http://schemas.openxmlformats.org/officeDocument/2006/relationships/hyperlink" Target="http://www.iso-ne.com/static-assets/documents/committees/comm_wkgrps/prtcpnts_comm/eag/mtrls/2013/apr122013/epa_rteg_meeting_3_18_2013.pdf" TargetMode="External"/><Relationship Id="rId6" Type="http://schemas.openxmlformats.org/officeDocument/2006/relationships/hyperlink" Target="http://www.eurelectric.org/news/2013/eurelectric-welcomes-ec%E2%80%99s-pro-market-stance-on-public-intervention/" TargetMode="External"/><Relationship Id="rId5" Type="http://schemas.openxmlformats.org/officeDocument/2006/relationships/hyperlink" Target="https://ec.europa.eu/energy/en/topics/markets-and-consumers/market-legislation" TargetMode="External"/><Relationship Id="rId4" Type="http://schemas.openxmlformats.org/officeDocument/2006/relationships/hyperlink" Target="http://www.ecfr.gov/cgi-bin/text-idx?tpl=/ecfrbrowse/Title40/40cfr60_main_02.tp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517134-C237-449A-A2C7-5DD35C1BF3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1664</Words>
  <Characters>9152</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Sarah Keay-Bright</dc:creator>
  <cp:lastModifiedBy>Christian Schaible</cp:lastModifiedBy>
  <cp:revision>2</cp:revision>
  <dcterms:created xsi:type="dcterms:W3CDTF">2015-05-21T00:45:00Z</dcterms:created>
  <dcterms:modified xsi:type="dcterms:W3CDTF">2015-05-21T00:45:00Z</dcterms:modified>
</cp:coreProperties>
</file>